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8AD22D">
      <w:pPr>
        <w:spacing w:line="360" w:lineRule="auto"/>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临床研究伦理审查申请</w:t>
      </w:r>
      <w:r>
        <w:rPr>
          <w:rFonts w:hint="eastAsia" w:asciiTheme="majorEastAsia" w:hAnsiTheme="majorEastAsia" w:eastAsiaTheme="majorEastAsia" w:cstheme="majorEastAsia"/>
          <w:b/>
          <w:bCs/>
          <w:sz w:val="32"/>
          <w:szCs w:val="32"/>
          <w:lang w:val="en-US" w:eastAsia="zh-CN"/>
        </w:rPr>
        <w:t>/报告</w:t>
      </w:r>
      <w:r>
        <w:rPr>
          <w:rFonts w:hint="eastAsia" w:asciiTheme="majorEastAsia" w:hAnsiTheme="majorEastAsia" w:eastAsiaTheme="majorEastAsia" w:cstheme="majorEastAsia"/>
          <w:b/>
          <w:bCs/>
          <w:sz w:val="32"/>
          <w:szCs w:val="32"/>
        </w:rPr>
        <w:t>指南</w:t>
      </w:r>
    </w:p>
    <w:p w14:paraId="0E924ABB">
      <w:pPr>
        <w:keepNext w:val="0"/>
        <w:keepLines w:val="0"/>
        <w:pageBreakBefore w:val="0"/>
        <w:widowControl w:val="0"/>
        <w:kinsoku/>
        <w:wordWrap/>
        <w:overflowPunct/>
        <w:topLinePunct w:val="0"/>
        <w:autoSpaceDE/>
        <w:autoSpaceDN/>
        <w:bidi w:val="0"/>
        <w:adjustRightInd/>
        <w:snapToGrid/>
        <w:spacing w:before="313" w:beforeLines="100" w:line="360" w:lineRule="auto"/>
        <w:ind w:firstLine="420" w:firstLineChars="200"/>
        <w:textAlignment w:val="auto"/>
        <w:rPr>
          <w:rStyle w:val="4"/>
          <w:rFonts w:hint="eastAsia"/>
          <w:b w:val="0"/>
          <w:lang w:val="en-US" w:eastAsia="zh-CN"/>
        </w:rPr>
      </w:pPr>
      <w:r>
        <w:rPr>
          <w:rStyle w:val="4"/>
          <w:rFonts w:hint="eastAsia"/>
          <w:b w:val="0"/>
          <w:lang w:val="en-US" w:eastAsia="zh-CN"/>
        </w:rPr>
        <w:t>为帮助申办方与研究者了解医学研究伦理审查和需提交伦理审查的送审材料，根据《赫尔辛基宣言》（2013年）、《人用药物注册技术要求国际协调会GCP》（ICH-GCP）（2016年）、《涉及人的生物医学研究伦理审查办法》（2016年）、《药物临床试验质量管理规范》（2020年）、《医疗器械临床试验质量管理规范》（2022年）、《涉及人的生命科学和医学研究伦理审查办法》（2023年）等相关法律法规，并结合我院伦理委员会制度和标准操作规程制定该指南。</w:t>
      </w:r>
    </w:p>
    <w:p w14:paraId="1B8C39D7">
      <w:pPr>
        <w:numPr>
          <w:ilvl w:val="0"/>
          <w:numId w:val="1"/>
        </w:numPr>
        <w:spacing w:line="360" w:lineRule="auto"/>
        <w:ind w:firstLine="316" w:firstLineChars="15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提交伦理审查的研究项目范围</w:t>
      </w:r>
    </w:p>
    <w:p w14:paraId="07C56A19">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Style w:val="4"/>
          <w:rFonts w:hint="default" w:ascii="Times New Roman" w:hAnsi="Times New Roman" w:eastAsia="宋体" w:cs="Times New Roman"/>
          <w:b w:val="0"/>
          <w:bCs w:val="0"/>
          <w:lang w:val="en-US" w:eastAsia="zh-CN"/>
        </w:rPr>
      </w:pPr>
      <w:r>
        <w:rPr>
          <w:rStyle w:val="4"/>
          <w:rFonts w:hint="default" w:ascii="Times New Roman" w:hAnsi="Times New Roman" w:eastAsia="宋体" w:cs="Times New Roman"/>
          <w:b w:val="0"/>
          <w:bCs w:val="0"/>
          <w:lang w:val="en-US" w:eastAsia="zh-CN"/>
        </w:rPr>
        <w:t>所有本机构承担的、以及在本机构内实施的涉及人的生命科学和医学研究项目应当依据本指南向伦理委员会提交伦理审查的送审材料。</w:t>
      </w:r>
    </w:p>
    <w:p w14:paraId="4283C3C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Style w:val="4"/>
          <w:rFonts w:hint="default" w:ascii="Times New Roman" w:hAnsi="Times New Roman" w:eastAsia="宋体" w:cs="Times New Roman"/>
          <w:b w:val="0"/>
          <w:bCs w:val="0"/>
          <w:lang w:val="en-US" w:eastAsia="zh-CN"/>
        </w:rPr>
      </w:pPr>
      <w:r>
        <w:rPr>
          <w:rStyle w:val="4"/>
          <w:rFonts w:hint="default" w:ascii="Times New Roman" w:hAnsi="Times New Roman" w:eastAsia="宋体" w:cs="Times New Roman"/>
          <w:b w:val="0"/>
          <w:bCs w:val="0"/>
          <w:lang w:val="en-US" w:eastAsia="zh-CN"/>
        </w:rPr>
        <w:t>涉及人的生命科学和医学研究是指以人为受试者或者使用人（统称研究参与者）的生物样本、信息数据（包括健康记录、行为等）开展的以下研究活动：</w:t>
      </w:r>
    </w:p>
    <w:p w14:paraId="77D823E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hanging="420" w:firstLineChars="0"/>
        <w:textAlignment w:val="auto"/>
        <w:rPr>
          <w:rStyle w:val="4"/>
          <w:rFonts w:hint="default" w:ascii="Times New Roman" w:hAnsi="Times New Roman" w:eastAsia="宋体" w:cs="Times New Roman"/>
          <w:b w:val="0"/>
          <w:bCs w:val="0"/>
          <w:lang w:val="en-US" w:eastAsia="zh-CN"/>
        </w:rPr>
      </w:pPr>
      <w:r>
        <w:rPr>
          <w:rStyle w:val="4"/>
          <w:rFonts w:hint="default" w:ascii="Times New Roman" w:hAnsi="Times New Roman" w:eastAsia="宋体" w:cs="Times New Roman"/>
          <w:b w:val="0"/>
          <w:bCs w:val="0"/>
          <w:lang w:val="en-US" w:eastAsia="zh-CN"/>
        </w:rPr>
        <w:t>采用物理学、化学、生物学、中医药学等方法对人的生殖、生长、发育、衰老等进行研究的活动；</w:t>
      </w:r>
    </w:p>
    <w:p w14:paraId="7799BAD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hanging="420" w:firstLineChars="0"/>
        <w:textAlignment w:val="auto"/>
        <w:rPr>
          <w:rStyle w:val="4"/>
          <w:rFonts w:hint="default" w:ascii="Times New Roman" w:hAnsi="Times New Roman" w:eastAsia="宋体" w:cs="Times New Roman"/>
          <w:b w:val="0"/>
          <w:bCs w:val="0"/>
          <w:lang w:val="en-US" w:eastAsia="zh-CN"/>
        </w:rPr>
      </w:pPr>
      <w:r>
        <w:rPr>
          <w:rStyle w:val="4"/>
          <w:rFonts w:hint="default" w:ascii="Times New Roman" w:hAnsi="Times New Roman" w:eastAsia="宋体" w:cs="Times New Roman"/>
          <w:b w:val="0"/>
          <w:bCs w:val="0"/>
          <w:lang w:val="en-US" w:eastAsia="zh-CN"/>
        </w:rPr>
        <w:t>采用物理学、化学、生物学、中医药学、心理学等方法对人的生理、心理行为、病理现象、疾病病因和发病机制，以及疾病的预防、诊断、治疗和康复等进行研究的活动；</w:t>
      </w:r>
    </w:p>
    <w:p w14:paraId="3636885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hanging="420" w:firstLineChars="0"/>
        <w:textAlignment w:val="auto"/>
        <w:rPr>
          <w:rStyle w:val="4"/>
          <w:rFonts w:hint="default" w:ascii="Times New Roman" w:hAnsi="Times New Roman" w:eastAsia="宋体" w:cs="Times New Roman"/>
          <w:b w:val="0"/>
          <w:bCs w:val="0"/>
          <w:lang w:val="en-US" w:eastAsia="zh-CN"/>
        </w:rPr>
      </w:pPr>
      <w:r>
        <w:rPr>
          <w:rStyle w:val="4"/>
          <w:rFonts w:hint="default" w:ascii="Times New Roman" w:hAnsi="Times New Roman" w:eastAsia="宋体" w:cs="Times New Roman"/>
          <w:b w:val="0"/>
          <w:bCs w:val="0"/>
          <w:lang w:val="en-US" w:eastAsia="zh-CN"/>
        </w:rPr>
        <w:t>采用新技术或者新产品在人体上进行试验研究的活动；</w:t>
      </w:r>
    </w:p>
    <w:p w14:paraId="73EB464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840" w:leftChars="0" w:hanging="420" w:firstLineChars="0"/>
        <w:textAlignment w:val="auto"/>
        <w:rPr>
          <w:rStyle w:val="4"/>
          <w:rFonts w:hint="default" w:ascii="Times New Roman" w:hAnsi="Times New Roman" w:eastAsia="宋体" w:cs="Times New Roman"/>
          <w:b w:val="0"/>
          <w:bCs w:val="0"/>
          <w:lang w:val="en-US" w:eastAsia="zh-CN"/>
        </w:rPr>
      </w:pPr>
      <w:r>
        <w:rPr>
          <w:rStyle w:val="4"/>
          <w:rFonts w:hint="default" w:ascii="Times New Roman" w:hAnsi="Times New Roman" w:eastAsia="宋体" w:cs="Times New Roman"/>
          <w:b w:val="0"/>
          <w:bCs w:val="0"/>
          <w:lang w:val="en-US" w:eastAsia="zh-CN"/>
        </w:rPr>
        <w:t>采用流行病学、社会学、心理学等方法收集、记录、使用、报告或者储存有关人的涉及生命科学和医学问题的生物样本、信息数据（包括健康记录、行为等）等科学研究资料的活动。</w:t>
      </w:r>
    </w:p>
    <w:p w14:paraId="22176EFC">
      <w:pPr>
        <w:numPr>
          <w:ilvl w:val="0"/>
          <w:numId w:val="1"/>
        </w:numPr>
        <w:spacing w:line="360" w:lineRule="auto"/>
        <w:ind w:left="0" w:leftChars="0" w:firstLine="316" w:firstLineChars="15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伦理审查申请的类别</w:t>
      </w:r>
    </w:p>
    <w:p w14:paraId="0F258030">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1.初始审查</w:t>
      </w:r>
    </w:p>
    <w:p w14:paraId="366000A0">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初始审查申请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符合上述范围的研究项目</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应在研究开始前提交伦理审查申请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经批准后方可实施。“初始审查申请”是指首次向伦理委员会提交的审查申请。</w:t>
      </w:r>
    </w:p>
    <w:p w14:paraId="70D1855C">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2.跟踪审查</w:t>
      </w:r>
    </w:p>
    <w:p w14:paraId="086BF5EC">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修正案审查申请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研究过程中若变更主要研究者</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对临床研究方案、知情同意书、招募材料等的任何修改</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应向伦理委员会提交修正案审查申请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经批准后执行。为避免研究对受试者的即刻危险</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研究者可在伦理委员会批准前修改研究方案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事后应将修改研究方案的情况及原因</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以“修正案审查申请”的方式及时提交伦理委员会审查</w:t>
      </w:r>
      <w:r>
        <w:rPr>
          <w:rFonts w:hint="eastAsia" w:asciiTheme="majorEastAsia" w:hAnsiTheme="majorEastAsia" w:eastAsiaTheme="majorEastAsia" w:cstheme="majorEastAsia"/>
          <w:sz w:val="21"/>
          <w:szCs w:val="21"/>
          <w:lang w:val="en-US" w:eastAsia="zh-CN"/>
        </w:rPr>
        <w:t>。</w:t>
      </w:r>
    </w:p>
    <w:p w14:paraId="5F43AB00">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研究进展报告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应按照伦理审查批件/意见规定的年度/定期跟踪审查频率</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在截止日期前1个月提交研究进展报告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申办者应当向组长单位伦理委员会提交各中心研究进展的汇总报告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当出现任何可能显著影响研究进行、或增加受试者危险的情况时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应以“研究进展报告”的方式</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及时报告伦理委会</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如果伦理审查批件有效期到期</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需要申请延长批件有效期</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应通过“研究进展报告”申请。</w:t>
      </w:r>
    </w:p>
    <w:p w14:paraId="6905A8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szCs w:val="21"/>
          <w:highlight w:val="yellow"/>
        </w:rPr>
      </w:pPr>
      <w:r>
        <w:rPr>
          <w:rStyle w:val="4"/>
          <w:rFonts w:hint="eastAsia" w:ascii="Times New Roman" w:hAnsi="Times New Roman" w:eastAsia="宋体" w:cs="Times New Roman"/>
          <w:b w:val="0"/>
          <w:bCs w:val="0"/>
          <w:lang w:val="en-US" w:eastAsia="zh-CN"/>
        </w:rPr>
        <w:t>安全性报告：</w:t>
      </w:r>
      <w:r>
        <w:rPr>
          <w:rStyle w:val="4"/>
          <w:rFonts w:hint="default" w:ascii="Times New Roman" w:hAnsi="Times New Roman" w:eastAsia="宋体" w:cs="Times New Roman"/>
          <w:b w:val="0"/>
          <w:bCs w:val="0"/>
          <w:lang w:val="en-US" w:eastAsia="zh-CN"/>
        </w:rPr>
        <w:t>研究者应当向伦理委员会提交申办者提供的安全性报告，包括</w:t>
      </w:r>
      <w:r>
        <w:rPr>
          <w:rStyle w:val="4"/>
          <w:rFonts w:hint="eastAsia" w:ascii="Times New Roman" w:hAnsi="Times New Roman" w:eastAsia="宋体" w:cs="Times New Roman"/>
          <w:b w:val="0"/>
          <w:bCs w:val="0"/>
          <w:lang w:val="en-US" w:eastAsia="zh-CN"/>
        </w:rPr>
        <w:t>严重不良事件报告、</w:t>
      </w:r>
      <w:r>
        <w:rPr>
          <w:rStyle w:val="4"/>
          <w:rFonts w:hint="default" w:ascii="Times New Roman" w:hAnsi="Times New Roman" w:eastAsia="宋体" w:cs="Times New Roman"/>
          <w:b w:val="0"/>
          <w:bCs w:val="0"/>
          <w:lang w:val="en-US" w:eastAsia="zh-CN"/>
        </w:rPr>
        <w:t>可疑且非预期严重不良反应</w:t>
      </w:r>
      <w:r>
        <w:rPr>
          <w:rStyle w:val="4"/>
          <w:rFonts w:hint="eastAsia" w:ascii="Times New Roman" w:hAnsi="Times New Roman" w:eastAsia="宋体" w:cs="Times New Roman"/>
          <w:b w:val="0"/>
          <w:bCs w:val="0"/>
          <w:lang w:val="en-US" w:eastAsia="zh-CN"/>
        </w:rPr>
        <w:t>（Suspected Unexpected Serious Adverse Reaction，SUSAR）</w:t>
      </w:r>
      <w:r>
        <w:rPr>
          <w:rStyle w:val="4"/>
          <w:rFonts w:hint="default" w:ascii="Times New Roman" w:hAnsi="Times New Roman" w:eastAsia="宋体" w:cs="Times New Roman"/>
          <w:b w:val="0"/>
          <w:bCs w:val="0"/>
          <w:lang w:val="en-US" w:eastAsia="zh-CN"/>
        </w:rPr>
        <w:t>报告、其他潜在的严重安全性风险信息的报告、年度安全性报告。</w:t>
      </w:r>
      <w:r>
        <w:rPr>
          <w:rStyle w:val="4"/>
          <w:rFonts w:hint="eastAsia" w:ascii="Times New Roman" w:hAnsi="Times New Roman" w:eastAsia="宋体" w:cs="Times New Roman"/>
          <w:b w:val="0"/>
          <w:bCs w:val="0"/>
          <w:lang w:val="en-US" w:eastAsia="zh-CN"/>
        </w:rPr>
        <w:t>严重不良事件是指临床研究过程中发生需住院治疗、延长住院时间，伤残影响工作能力、危及生命或死亡、导致先天畸形等事件。本院研究中</w:t>
      </w:r>
      <w:r>
        <w:rPr>
          <w:rStyle w:val="4"/>
          <w:rFonts w:hint="default" w:ascii="Times New Roman" w:hAnsi="Times New Roman" w:eastAsia="宋体" w:cs="Times New Roman"/>
          <w:b w:val="0"/>
          <w:bCs w:val="0"/>
          <w:lang w:val="en-US" w:eastAsia="zh-CN"/>
        </w:rPr>
        <w:t>心的受试者</w:t>
      </w:r>
      <w:r>
        <w:rPr>
          <w:rStyle w:val="4"/>
          <w:rFonts w:hint="eastAsia" w:ascii="Times New Roman" w:hAnsi="Times New Roman" w:eastAsia="宋体" w:cs="Times New Roman"/>
          <w:b w:val="0"/>
          <w:bCs w:val="0"/>
          <w:lang w:val="en-US" w:eastAsia="zh-CN"/>
        </w:rPr>
        <w:t>发生严重不良事件（SAE），应在获知后24小时内向本伦理委员会报告；可疑且非预期严重不良反应（SUSAR）按照《药物临床试验期间安全性数据快速报告标准和程序》上报；研究者在接收申办者提交的安全性更新报告（DSUR）后尽快向伦理委员会办公室递交。</w:t>
      </w:r>
    </w:p>
    <w:p w14:paraId="6EF4EFB0">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Style w:val="4"/>
          <w:rFonts w:hint="eastAsia" w:ascii="Times New Roman" w:hAnsi="Times New Roman" w:eastAsia="宋体" w:cs="Times New Roman"/>
          <w:b w:val="0"/>
          <w:bCs w:val="0"/>
          <w:lang w:val="en-US" w:eastAsia="zh-CN"/>
        </w:rPr>
        <w:t>违背/偏离方案报告：需要报告的违</w:t>
      </w:r>
      <w:r>
        <w:rPr>
          <w:rFonts w:hint="eastAsia" w:asciiTheme="majorEastAsia" w:hAnsiTheme="majorEastAsia" w:eastAsiaTheme="majorEastAsia" w:cstheme="majorEastAsia"/>
          <w:sz w:val="21"/>
          <w:szCs w:val="21"/>
        </w:rPr>
        <w:t>背方案情况包括</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①重大的违背方案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研究纳入了不符合纳入标准或符合排除标准的受试者</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符合中止试验规定而未让受试者退出研究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给予错误治疗或剂量</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给予方案禁止的合并用药等没有遵从方案开展研究的情况</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或可能对受试者的权益/健康以及研究的科学性造成显著影响等违背</w:t>
      </w:r>
      <w:r>
        <w:rPr>
          <w:rFonts w:hint="eastAsia" w:asciiTheme="majorEastAsia" w:hAnsiTheme="majorEastAsia" w:eastAsiaTheme="majorEastAsia" w:cstheme="majorEastAsia"/>
          <w:sz w:val="21"/>
          <w:szCs w:val="21"/>
          <w:lang w:val="en-US" w:eastAsia="zh-CN"/>
        </w:rPr>
        <w:t>G</w:t>
      </w:r>
      <w:r>
        <w:rPr>
          <w:rFonts w:hint="eastAsia" w:asciiTheme="majorEastAsia" w:hAnsiTheme="majorEastAsia" w:eastAsiaTheme="majorEastAsia" w:cstheme="majorEastAsia"/>
          <w:sz w:val="21"/>
          <w:szCs w:val="21"/>
        </w:rPr>
        <w:t>CP原则的情况。②</w:t>
      </w:r>
      <w:r>
        <w:rPr>
          <w:rFonts w:hint="eastAsia" w:asciiTheme="majorEastAsia" w:hAnsiTheme="majorEastAsia" w:eastAsiaTheme="majorEastAsia" w:cstheme="majorEastAsia"/>
          <w:sz w:val="21"/>
          <w:szCs w:val="21"/>
          <w:lang w:eastAsia="zh-CN"/>
        </w:rPr>
        <w:t>持</w:t>
      </w:r>
      <w:r>
        <w:rPr>
          <w:rFonts w:hint="eastAsia" w:asciiTheme="majorEastAsia" w:hAnsiTheme="majorEastAsia" w:eastAsiaTheme="majorEastAsia" w:cstheme="majorEastAsia"/>
          <w:sz w:val="21"/>
          <w:szCs w:val="21"/>
        </w:rPr>
        <w:t>续违背方案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或研究者不配合监察/查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或对违规事件不予以纠正</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凡是发生上述研究者</w:t>
      </w:r>
      <w:r>
        <w:rPr>
          <w:rFonts w:hint="eastAsia" w:asciiTheme="majorEastAsia" w:hAnsiTheme="majorEastAsia" w:eastAsiaTheme="majorEastAsia" w:cstheme="majorEastAsia"/>
          <w:sz w:val="21"/>
          <w:szCs w:val="21"/>
          <w:lang w:eastAsia="zh-CN"/>
        </w:rPr>
        <w:t>违</w:t>
      </w:r>
      <w:r>
        <w:rPr>
          <w:rFonts w:hint="eastAsia" w:asciiTheme="majorEastAsia" w:hAnsiTheme="majorEastAsia" w:eastAsiaTheme="majorEastAsia" w:cstheme="majorEastAsia"/>
          <w:sz w:val="21"/>
          <w:szCs w:val="21"/>
        </w:rPr>
        <w:t>背</w:t>
      </w:r>
      <w:r>
        <w:rPr>
          <w:rFonts w:hint="eastAsia" w:asciiTheme="majorEastAsia" w:hAnsiTheme="majorEastAsia" w:eastAsiaTheme="majorEastAsia" w:cstheme="majorEastAsia"/>
          <w:sz w:val="21"/>
          <w:szCs w:val="21"/>
          <w:lang w:val="en-US" w:eastAsia="zh-CN"/>
        </w:rPr>
        <w:t>G</w:t>
      </w:r>
      <w:r>
        <w:rPr>
          <w:rFonts w:hint="eastAsia" w:asciiTheme="majorEastAsia" w:hAnsiTheme="majorEastAsia" w:eastAsiaTheme="majorEastAsia" w:cstheme="majorEastAsia"/>
          <w:sz w:val="21"/>
          <w:szCs w:val="21"/>
        </w:rPr>
        <w:t>CP原则、没有遵从方案开展研究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可能对受试者的权益/健康、以及研究的科学性造成显著影响的情况</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研究者/申办者的监察员应提交违背方案报告。为避免研究对受试者的即刻危险</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研究者可在伦理委员会批准前偏离研究方案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事后应以“违背方案报告”的方式</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向伦理委员会报告任何偏离已批准方案之处并作解释</w:t>
      </w:r>
      <w:r>
        <w:rPr>
          <w:rFonts w:hint="eastAsia" w:asciiTheme="majorEastAsia" w:hAnsiTheme="majorEastAsia" w:eastAsiaTheme="majorEastAsia" w:cstheme="majorEastAsia"/>
          <w:sz w:val="21"/>
          <w:szCs w:val="21"/>
          <w:lang w:eastAsia="zh-CN"/>
        </w:rPr>
        <w:t>。</w:t>
      </w:r>
    </w:p>
    <w:p w14:paraId="16E8B4B9">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暂停</w:t>
      </w:r>
      <w:r>
        <w:rPr>
          <w:rFonts w:hint="eastAsia" w:asciiTheme="majorEastAsia" w:hAnsiTheme="majorEastAsia" w:eastAsiaTheme="majorEastAsia" w:cstheme="majorEastAsia"/>
          <w:sz w:val="21"/>
          <w:szCs w:val="21"/>
          <w:lang w:val="en-US" w:eastAsia="zh-CN"/>
        </w:rPr>
        <w:t>/终</w:t>
      </w:r>
      <w:r>
        <w:rPr>
          <w:rFonts w:hint="eastAsia" w:asciiTheme="majorEastAsia" w:hAnsiTheme="majorEastAsia" w:eastAsiaTheme="majorEastAsia" w:cstheme="majorEastAsia"/>
          <w:sz w:val="21"/>
          <w:szCs w:val="21"/>
        </w:rPr>
        <w:t>止研究报告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研究者/申办者暂停或提前终止临床研究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应及时向伦理委员提交暂停/终止研究报告</w:t>
      </w:r>
      <w:r>
        <w:rPr>
          <w:rFonts w:hint="eastAsia" w:asciiTheme="majorEastAsia" w:hAnsiTheme="majorEastAsia" w:eastAsiaTheme="majorEastAsia" w:cstheme="majorEastAsia"/>
          <w:sz w:val="21"/>
          <w:szCs w:val="21"/>
          <w:lang w:eastAsia="zh-CN"/>
        </w:rPr>
        <w:t>。</w:t>
      </w:r>
    </w:p>
    <w:p w14:paraId="7AA987B8">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研究完成报告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完成临床研究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应及时向伦理委员会提交研究完成报告</w:t>
      </w:r>
      <w:r>
        <w:rPr>
          <w:rFonts w:hint="eastAsia" w:asciiTheme="majorEastAsia" w:hAnsiTheme="majorEastAsia" w:eastAsiaTheme="majorEastAsia" w:cstheme="majorEastAsia"/>
          <w:sz w:val="21"/>
          <w:szCs w:val="21"/>
          <w:lang w:eastAsia="zh-CN"/>
        </w:rPr>
        <w:t>。</w:t>
      </w:r>
    </w:p>
    <w:p w14:paraId="4BD23CC5">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3.复审</w:t>
      </w:r>
    </w:p>
    <w:p w14:paraId="0893D489">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复审申请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上述初始审查和跟踪审查后</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按伦</w:t>
      </w:r>
      <w:r>
        <w:rPr>
          <w:rFonts w:hint="eastAsia" w:asciiTheme="majorEastAsia" w:hAnsiTheme="majorEastAsia" w:eastAsiaTheme="majorEastAsia" w:cstheme="majorEastAsia"/>
          <w:sz w:val="21"/>
          <w:szCs w:val="21"/>
          <w:lang w:eastAsia="zh-CN"/>
        </w:rPr>
        <w:t>理</w:t>
      </w:r>
      <w:r>
        <w:rPr>
          <w:rFonts w:hint="eastAsia" w:asciiTheme="majorEastAsia" w:hAnsiTheme="majorEastAsia" w:eastAsiaTheme="majorEastAsia" w:cstheme="majorEastAsia"/>
          <w:sz w:val="21"/>
          <w:szCs w:val="21"/>
        </w:rPr>
        <w:t>审查意见“作必要的修正后同意</w:t>
      </w:r>
      <w:r>
        <w:rPr>
          <w:rFonts w:hint="eastAsia" w:asciiTheme="majorEastAsia" w:hAnsiTheme="majorEastAsia" w:eastAsiaTheme="majorEastAsia" w:cstheme="majorEastAsia"/>
          <w:sz w:val="21"/>
          <w:szCs w:val="21"/>
          <w:lang w:val="en-US" w:eastAsia="zh-CN"/>
        </w:rPr>
        <w:t>/</w:t>
      </w:r>
      <w:r>
        <w:rPr>
          <w:rFonts w:hint="eastAsia" w:asciiTheme="majorEastAsia" w:hAnsiTheme="majorEastAsia" w:eastAsiaTheme="majorEastAsia" w:cstheme="majorEastAsia"/>
          <w:sz w:val="21"/>
          <w:szCs w:val="21"/>
        </w:rPr>
        <w:t>作必要的修正后重审”</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对方案进行修改后</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应以“复审申请”的方式再次送审</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经伦理委员会批准后方可实施</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如果对伦理审查意见有不同的看法</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可以“复审申请”的方式申诉不同意见</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请伦理委员会重新考虑决定</w:t>
      </w:r>
      <w:r>
        <w:rPr>
          <w:rFonts w:hint="eastAsia" w:asciiTheme="majorEastAsia" w:hAnsiTheme="majorEastAsia" w:eastAsiaTheme="majorEastAsia" w:cstheme="majorEastAsia"/>
          <w:sz w:val="21"/>
          <w:szCs w:val="21"/>
          <w:lang w:eastAsia="zh-CN"/>
        </w:rPr>
        <w:t>。</w:t>
      </w:r>
    </w:p>
    <w:p w14:paraId="07BACA82">
      <w:pPr>
        <w:numPr>
          <w:ilvl w:val="0"/>
          <w:numId w:val="0"/>
        </w:num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三、提交伦理审查的流程</w:t>
      </w:r>
    </w:p>
    <w:p w14:paraId="64734BE1">
      <w:pPr>
        <w:numPr>
          <w:ilvl w:val="0"/>
          <w:numId w:val="0"/>
        </w:numPr>
        <w:spacing w:line="360" w:lineRule="auto"/>
        <w:ind w:firstLine="420" w:firstLineChars="200"/>
        <w:jc w:val="both"/>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1.送审</w:t>
      </w:r>
    </w:p>
    <w:p w14:paraId="15EE2179">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送审责任者</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研究项目的送审责任者一般为主要</w:t>
      </w:r>
      <w:r>
        <w:rPr>
          <w:rFonts w:hint="eastAsia" w:asciiTheme="majorEastAsia" w:hAnsiTheme="majorEastAsia" w:eastAsiaTheme="majorEastAsia" w:cstheme="majorEastAsia"/>
          <w:sz w:val="21"/>
          <w:szCs w:val="21"/>
          <w:lang w:eastAsia="zh-CN"/>
        </w:rPr>
        <w:t>研究者</w:t>
      </w:r>
      <w:r>
        <w:rPr>
          <w:rFonts w:hint="eastAsia" w:asciiTheme="majorEastAsia" w:hAnsiTheme="majorEastAsia" w:eastAsiaTheme="majorEastAsia" w:cstheme="majorEastAsia"/>
          <w:sz w:val="21"/>
          <w:szCs w:val="21"/>
        </w:rPr>
        <w:t>/课题负责人</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新药和医疗器械临床试验的申办者一般负责准备送审材料</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多中心临床试验的研究进展报告由申办者负责送审</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研究生课题的送审应由其导师或指导老师共同签署</w:t>
      </w:r>
      <w:r>
        <w:rPr>
          <w:rFonts w:hint="eastAsia" w:asciiTheme="majorEastAsia" w:hAnsiTheme="majorEastAsia" w:eastAsiaTheme="majorEastAsia" w:cstheme="majorEastAsia"/>
          <w:sz w:val="21"/>
          <w:szCs w:val="21"/>
          <w:lang w:eastAsia="zh-CN"/>
        </w:rPr>
        <w:t>。</w:t>
      </w:r>
    </w:p>
    <w:p w14:paraId="2B82BE00">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准备送审文件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根据送审文件清单</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准备送审文件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方案和知情同意书注明版本号和版本日期</w:t>
      </w:r>
      <w:r>
        <w:rPr>
          <w:rFonts w:hint="eastAsia" w:asciiTheme="majorEastAsia" w:hAnsiTheme="majorEastAsia" w:eastAsiaTheme="majorEastAsia" w:cstheme="majorEastAsia"/>
          <w:sz w:val="21"/>
          <w:szCs w:val="21"/>
          <w:lang w:eastAsia="zh-CN"/>
        </w:rPr>
        <w:t>。</w:t>
      </w:r>
    </w:p>
    <w:p w14:paraId="3E9042E6">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填写申请/报告的表格</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根据伦理审查申请/报告的类别</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填写相应的“申请”(初始审查申请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修正案</w:t>
      </w:r>
      <w:r>
        <w:rPr>
          <w:rFonts w:hint="default" w:asciiTheme="majorEastAsia" w:hAnsiTheme="majorEastAsia" w:eastAsiaTheme="majorEastAsia" w:cstheme="majorEastAsia"/>
          <w:sz w:val="21"/>
          <w:szCs w:val="21"/>
        </w:rPr>
        <w:t>审</w:t>
      </w:r>
      <w:r>
        <w:rPr>
          <w:rFonts w:hint="eastAsia" w:asciiTheme="majorEastAsia" w:hAnsiTheme="majorEastAsia" w:eastAsiaTheme="majorEastAsia" w:cstheme="majorEastAsia"/>
          <w:sz w:val="21"/>
          <w:szCs w:val="21"/>
        </w:rPr>
        <w:t>查申请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复审申请)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或“报告(年度/定期跟踪审查报告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严重不良事件报告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违背方案报告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暂停/终止研究报告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研究完成报告)。</w:t>
      </w:r>
    </w:p>
    <w:p w14:paraId="4A6AB646">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提交</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可以首先提交1套送审文件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通过形式审查后</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准备书面送审材料</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份送至伦理委员会办公室</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同时</w:t>
      </w:r>
      <w:r>
        <w:rPr>
          <w:rFonts w:hint="eastAsia" w:asciiTheme="majorEastAsia" w:hAnsiTheme="majorEastAsia" w:eastAsiaTheme="majorEastAsia" w:cstheme="majorEastAsia"/>
          <w:sz w:val="21"/>
          <w:szCs w:val="21"/>
          <w:lang w:eastAsia="zh-CN"/>
        </w:rPr>
        <w:t>将</w:t>
      </w:r>
      <w:r>
        <w:rPr>
          <w:rFonts w:hint="eastAsia" w:asciiTheme="majorEastAsia" w:hAnsiTheme="majorEastAsia" w:eastAsiaTheme="majorEastAsia" w:cstheme="majorEastAsia"/>
          <w:sz w:val="21"/>
          <w:szCs w:val="21"/>
        </w:rPr>
        <w:t>电子文件(方案/知情同意书/招募材料等</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PDF格式)</w:t>
      </w:r>
      <w:r>
        <w:rPr>
          <w:rFonts w:hint="eastAsia" w:asciiTheme="majorEastAsia" w:hAnsiTheme="majorEastAsia" w:eastAsiaTheme="majorEastAsia" w:cstheme="majorEastAsia"/>
          <w:sz w:val="21"/>
          <w:szCs w:val="21"/>
          <w:lang w:eastAsia="zh-CN"/>
        </w:rPr>
        <w:t>发送伦理邮箱。</w:t>
      </w:r>
    </w:p>
    <w:p w14:paraId="3F146DAA">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2.领取通知</w:t>
      </w:r>
    </w:p>
    <w:p w14:paraId="7098E3A7">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补充/修改送审材料通知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伦理委员会办公室受理后</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如果认为送审文件不完整</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文件要素有缺陷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发送补充/修改送审材料通知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告知缺项文件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缺陷的要素</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以及最近审查会议前的送审截止日期</w:t>
      </w:r>
      <w:r>
        <w:rPr>
          <w:rFonts w:hint="eastAsia" w:asciiTheme="majorEastAsia" w:hAnsiTheme="majorEastAsia" w:eastAsiaTheme="majorEastAsia" w:cstheme="majorEastAsia"/>
          <w:sz w:val="21"/>
          <w:szCs w:val="21"/>
          <w:lang w:eastAsia="zh-CN"/>
        </w:rPr>
        <w:t>。</w:t>
      </w:r>
    </w:p>
    <w:p w14:paraId="093058C1">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受理通知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送审文件的完整性和要素通过形式审查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办公室发送受理通知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并告知预定审查日期</w:t>
      </w:r>
      <w:r>
        <w:rPr>
          <w:rFonts w:hint="eastAsia" w:asciiTheme="majorEastAsia" w:hAnsiTheme="majorEastAsia" w:eastAsiaTheme="majorEastAsia" w:cstheme="majorEastAsia"/>
          <w:sz w:val="21"/>
          <w:szCs w:val="21"/>
          <w:lang w:eastAsia="zh-CN"/>
        </w:rPr>
        <w:t>。</w:t>
      </w:r>
    </w:p>
    <w:p w14:paraId="556B1BB3">
      <w:pPr>
        <w:numPr>
          <w:ilvl w:val="0"/>
          <w:numId w:val="0"/>
        </w:numPr>
        <w:spacing w:line="360" w:lineRule="auto"/>
        <w:ind w:firstLine="420" w:firstLineChars="200"/>
        <w:jc w:val="both"/>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z w:val="21"/>
          <w:szCs w:val="21"/>
        </w:rPr>
        <w:t>3.接受审查的准备</w:t>
      </w:r>
    </w:p>
    <w:p w14:paraId="1D989E29">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办公室秘书会电话/短信通知会议时间</w:t>
      </w:r>
      <w:r>
        <w:rPr>
          <w:rFonts w:hint="eastAsia" w:asciiTheme="majorEastAsia" w:hAnsiTheme="majorEastAsia" w:eastAsiaTheme="majorEastAsia" w:cstheme="majorEastAsia"/>
          <w:sz w:val="21"/>
          <w:szCs w:val="21"/>
          <w:lang w:eastAsia="zh-CN"/>
        </w:rPr>
        <w:t>与</w:t>
      </w:r>
      <w:r>
        <w:rPr>
          <w:rFonts w:hint="eastAsia" w:asciiTheme="majorEastAsia" w:hAnsiTheme="majorEastAsia" w:eastAsiaTheme="majorEastAsia" w:cstheme="majorEastAsia"/>
          <w:sz w:val="21"/>
          <w:szCs w:val="21"/>
        </w:rPr>
        <w:t>地点</w:t>
      </w:r>
      <w:r>
        <w:rPr>
          <w:rFonts w:hint="eastAsia" w:asciiTheme="majorEastAsia" w:hAnsiTheme="majorEastAsia" w:eastAsiaTheme="majorEastAsia" w:cstheme="majorEastAsia"/>
          <w:sz w:val="21"/>
          <w:szCs w:val="21"/>
          <w:lang w:eastAsia="zh-CN"/>
        </w:rPr>
        <w:t>；</w:t>
      </w:r>
    </w:p>
    <w:p w14:paraId="0037712F">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准备向会议报告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主要研究者准备报告文件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并应亲自到会报告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提前15分钟到达会场。主要研究者因故不能到会报告</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应事先向伦委员会办公室请假</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该项目转入下次会议审查</w:t>
      </w:r>
      <w:r>
        <w:rPr>
          <w:rFonts w:hint="eastAsia" w:asciiTheme="majorEastAsia" w:hAnsiTheme="majorEastAsia" w:eastAsiaTheme="majorEastAsia" w:cstheme="majorEastAsia"/>
          <w:sz w:val="21"/>
          <w:szCs w:val="21"/>
          <w:lang w:eastAsia="zh-CN"/>
        </w:rPr>
        <w:t>。</w:t>
      </w:r>
    </w:p>
    <w:p w14:paraId="7DD98304">
      <w:pPr>
        <w:numPr>
          <w:ilvl w:val="0"/>
          <w:numId w:val="0"/>
        </w:num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四、伦理审查的时间</w:t>
      </w:r>
    </w:p>
    <w:p w14:paraId="22D42B3E">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医学</w:t>
      </w:r>
      <w:r>
        <w:rPr>
          <w:rFonts w:hint="eastAsia" w:asciiTheme="majorEastAsia" w:hAnsiTheme="majorEastAsia" w:eastAsiaTheme="majorEastAsia" w:cstheme="majorEastAsia"/>
          <w:sz w:val="21"/>
          <w:szCs w:val="21"/>
        </w:rPr>
        <w:t>伦理委员会于每月</w:t>
      </w:r>
      <w:r>
        <w:rPr>
          <w:rFonts w:hint="eastAsia" w:asciiTheme="majorEastAsia" w:hAnsiTheme="majorEastAsia" w:eastAsiaTheme="majorEastAsia" w:cstheme="majorEastAsia"/>
          <w:sz w:val="21"/>
          <w:szCs w:val="21"/>
          <w:lang w:val="en-US" w:eastAsia="zh-CN"/>
        </w:rPr>
        <w:t>第二</w:t>
      </w:r>
      <w:r>
        <w:rPr>
          <w:rFonts w:hint="eastAsia" w:asciiTheme="majorEastAsia" w:hAnsiTheme="majorEastAsia" w:eastAsiaTheme="majorEastAsia" w:cstheme="majorEastAsia"/>
          <w:sz w:val="21"/>
          <w:szCs w:val="21"/>
        </w:rPr>
        <w:t>周的周</w:t>
      </w:r>
      <w:r>
        <w:rPr>
          <w:rFonts w:hint="eastAsia" w:asciiTheme="majorEastAsia" w:hAnsiTheme="majorEastAsia" w:eastAsiaTheme="majorEastAsia" w:cstheme="majorEastAsia"/>
          <w:sz w:val="21"/>
          <w:szCs w:val="21"/>
          <w:lang w:eastAsia="zh-CN"/>
        </w:rPr>
        <w:t>五</w:t>
      </w:r>
      <w:r>
        <w:rPr>
          <w:rFonts w:hint="eastAsia" w:asciiTheme="majorEastAsia" w:hAnsiTheme="majorEastAsia" w:eastAsiaTheme="majorEastAsia" w:cstheme="majorEastAsia"/>
          <w:sz w:val="21"/>
          <w:szCs w:val="21"/>
        </w:rPr>
        <w:t>下午例行召开审查会议</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需要时可以增加审查议次数。伦理委员会办公室受理送审文件后</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一般需要1周的时间进行处理</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请在会议审查1周前提交送审文件</w:t>
      </w:r>
      <w:r>
        <w:rPr>
          <w:rFonts w:hint="eastAsia" w:asciiTheme="majorEastAsia" w:hAnsiTheme="majorEastAsia" w:eastAsiaTheme="majorEastAsia" w:cstheme="majorEastAsia"/>
          <w:sz w:val="21"/>
          <w:szCs w:val="21"/>
          <w:lang w:eastAsia="zh-CN"/>
        </w:rPr>
        <w:t>。</w:t>
      </w:r>
    </w:p>
    <w:p w14:paraId="243FAEA4">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研究过程中出现重大或严重问题</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危及受试者安全时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或发生其他需要伦理委员会召开会议进行紧急审查和决定的情况</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伦理委员会将召开紧急会议进行审查。</w:t>
      </w:r>
    </w:p>
    <w:p w14:paraId="59BCEADB">
      <w:pPr>
        <w:numPr>
          <w:ilvl w:val="0"/>
          <w:numId w:val="0"/>
        </w:num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五、审查决定的传达</w:t>
      </w:r>
    </w:p>
    <w:p w14:paraId="493A4F77">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伦理委员会办公室在做出伦理审查决定后5个工作内</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以“伦理审查批件”或“伦理审查意见”的书面方式传达审查决定。</w:t>
      </w:r>
    </w:p>
    <w:p w14:paraId="64E5123A">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如果审查意见为肯定性决定(同意继续研究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或不需要采取进一步的措施)</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并且审查类别属于严重不良事件审查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违背方案审查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暂停/终止研究审查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研究完成审查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以及上述审查类别审查后的复审</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伦理委员会的决定可以不传达。申请人在伦理委员会受理送审材料后一个半月内没有收到伦理委员会的审查意见</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视作伦理审查意见为“同意”或“不需要采取进一步的措施</w:t>
      </w:r>
      <w:r>
        <w:rPr>
          <w:rFonts w:hint="eastAsia" w:asciiTheme="majorEastAsia" w:hAnsiTheme="majorEastAsia" w:eastAsiaTheme="majorEastAsia" w:cstheme="majorEastAsia"/>
          <w:sz w:val="21"/>
          <w:szCs w:val="21"/>
          <w:lang w:eastAsia="zh-CN"/>
        </w:rPr>
        <w:t>”。</w:t>
      </w:r>
    </w:p>
    <w:p w14:paraId="48509D0D">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对伦理审查决定有不同意见</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可以向伦理委员会提交复审申请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与伦理委员会委员和办公室沟通交流</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还可以向医院质量管理部门申诉</w:t>
      </w:r>
      <w:r>
        <w:rPr>
          <w:rFonts w:hint="eastAsia" w:asciiTheme="majorEastAsia" w:hAnsiTheme="majorEastAsia" w:eastAsiaTheme="majorEastAsia" w:cstheme="majorEastAsia"/>
          <w:sz w:val="21"/>
          <w:szCs w:val="21"/>
          <w:lang w:eastAsia="zh-CN"/>
        </w:rPr>
        <w:t>。</w:t>
      </w:r>
    </w:p>
    <w:p w14:paraId="2ADD0DE9">
      <w:pPr>
        <w:numPr>
          <w:ilvl w:val="0"/>
          <w:numId w:val="0"/>
        </w:num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六、伦理审查的费用</w:t>
      </w:r>
    </w:p>
    <w:p w14:paraId="22198C4B">
      <w:pPr>
        <w:spacing w:line="360" w:lineRule="auto"/>
        <w:ind w:firstLine="420"/>
        <w:jc w:val="center"/>
        <w:rPr>
          <w:rFonts w:hint="eastAsia" w:asciiTheme="majorEastAsia" w:hAnsiTheme="majorEastAsia" w:eastAsiaTheme="majorEastAsia" w:cstheme="minorBidi"/>
          <w:kern w:val="2"/>
          <w:sz w:val="21"/>
          <w:szCs w:val="22"/>
          <w:lang w:eastAsia="zh-CN"/>
        </w:rPr>
      </w:pPr>
      <w:r>
        <w:rPr>
          <w:rFonts w:hint="eastAsia" w:asciiTheme="majorEastAsia" w:hAnsiTheme="majorEastAsia" w:eastAsiaTheme="majorEastAsia" w:cstheme="minorBidi"/>
          <w:kern w:val="2"/>
          <w:sz w:val="21"/>
          <w:szCs w:val="22"/>
          <w:lang w:eastAsia="zh-CN"/>
        </w:rPr>
        <w:t>我院医学伦理委员会</w:t>
      </w:r>
      <w:r>
        <w:rPr>
          <w:rFonts w:asciiTheme="majorEastAsia" w:hAnsiTheme="majorEastAsia" w:eastAsiaTheme="majorEastAsia" w:cstheme="minorBidi"/>
          <w:kern w:val="2"/>
          <w:sz w:val="21"/>
          <w:szCs w:val="22"/>
        </w:rPr>
        <w:t>参照国际惯例及国内标准确定项目评审收费额度</w:t>
      </w:r>
      <w:r>
        <w:rPr>
          <w:rFonts w:hint="eastAsia" w:asciiTheme="majorEastAsia" w:hAnsiTheme="majorEastAsia" w:eastAsiaTheme="majorEastAsia" w:cstheme="minorBidi"/>
          <w:kern w:val="2"/>
          <w:sz w:val="21"/>
          <w:szCs w:val="22"/>
          <w:lang w:eastAsia="zh-CN"/>
        </w:rPr>
        <w:t>，财务处负责</w:t>
      </w:r>
      <w:r>
        <w:rPr>
          <w:rFonts w:asciiTheme="majorEastAsia" w:hAnsiTheme="majorEastAsia" w:eastAsiaTheme="majorEastAsia" w:cstheme="minorBidi"/>
          <w:kern w:val="2"/>
          <w:sz w:val="21"/>
          <w:szCs w:val="22"/>
        </w:rPr>
        <w:t>帐目收入与支出管理，自觉接受税务、审计部门的监督检查。</w:t>
      </w:r>
      <w:r>
        <w:rPr>
          <w:rFonts w:hint="eastAsia" w:asciiTheme="majorEastAsia" w:hAnsiTheme="majorEastAsia" w:eastAsiaTheme="majorEastAsia" w:cstheme="minorBidi"/>
          <w:kern w:val="2"/>
          <w:sz w:val="21"/>
          <w:szCs w:val="22"/>
        </w:rPr>
        <w:t>伦理委员会办公室收取评审材料时，根据具体的项目收费标准向申请者出具收费通知，申请者持收费通知到我院财务处办理，可以现金或者转账，凭缴费凭证，到伦理委员会登记备案。每个研究项目的伦理审查费用</w:t>
      </w:r>
      <w:r>
        <w:rPr>
          <w:rFonts w:hint="eastAsia" w:asciiTheme="majorEastAsia" w:hAnsiTheme="majorEastAsia" w:eastAsiaTheme="majorEastAsia" w:cstheme="minorBidi"/>
          <w:kern w:val="2"/>
          <w:sz w:val="21"/>
          <w:szCs w:val="22"/>
          <w:lang w:eastAsia="zh-CN"/>
        </w:rPr>
        <w:t>根据</w:t>
      </w:r>
    </w:p>
    <w:p w14:paraId="73216350">
      <w:pPr>
        <w:spacing w:line="360" w:lineRule="auto"/>
        <w:jc w:val="both"/>
        <w:rPr>
          <w:rFonts w:hint="eastAsia" w:asciiTheme="majorEastAsia" w:hAnsiTheme="majorEastAsia" w:eastAsiaTheme="majorEastAsia" w:cstheme="majorEastAsia"/>
          <w:color w:val="FF0000"/>
          <w:sz w:val="21"/>
          <w:szCs w:val="21"/>
        </w:rPr>
      </w:pPr>
      <w:r>
        <w:rPr>
          <w:rFonts w:hint="eastAsia" w:asciiTheme="majorEastAsia" w:hAnsiTheme="majorEastAsia" w:eastAsiaTheme="majorEastAsia" w:cstheme="minorBidi"/>
          <w:kern w:val="2"/>
          <w:sz w:val="21"/>
          <w:szCs w:val="22"/>
        </w:rPr>
        <w:t>医</w:t>
      </w:r>
      <w:r>
        <w:rPr>
          <w:rFonts w:hint="default" w:asciiTheme="majorEastAsia" w:hAnsiTheme="majorEastAsia" w:eastAsiaTheme="majorEastAsia" w:cstheme="minorBidi"/>
          <w:kern w:val="2"/>
          <w:sz w:val="21"/>
          <w:szCs w:val="22"/>
        </w:rPr>
        <w:t>学</w:t>
      </w:r>
      <w:r>
        <w:rPr>
          <w:rFonts w:hint="eastAsia" w:asciiTheme="majorEastAsia" w:hAnsiTheme="majorEastAsia" w:eastAsiaTheme="majorEastAsia" w:cstheme="minorBidi"/>
          <w:kern w:val="2"/>
          <w:sz w:val="21"/>
          <w:szCs w:val="22"/>
        </w:rPr>
        <w:t>伦理委员会</w:t>
      </w:r>
      <w:r>
        <w:rPr>
          <w:rFonts w:hint="default" w:asciiTheme="majorEastAsia" w:hAnsiTheme="majorEastAsia" w:eastAsiaTheme="majorEastAsia" w:cstheme="minorBidi"/>
          <w:kern w:val="2"/>
          <w:sz w:val="21"/>
          <w:szCs w:val="22"/>
        </w:rPr>
        <w:t>经费管理条例</w:t>
      </w:r>
      <w:r>
        <w:rPr>
          <w:rFonts w:hint="eastAsia" w:asciiTheme="majorEastAsia" w:hAnsiTheme="majorEastAsia" w:eastAsiaTheme="majorEastAsia" w:cstheme="minorBidi"/>
          <w:kern w:val="2"/>
          <w:sz w:val="21"/>
          <w:szCs w:val="22"/>
          <w:lang w:eastAsia="zh-CN"/>
        </w:rPr>
        <w:t>收取。</w:t>
      </w:r>
      <w:bookmarkStart w:id="0" w:name="_GoBack"/>
      <w:bookmarkEnd w:id="0"/>
    </w:p>
    <w:p w14:paraId="612D4435">
      <w:pPr>
        <w:numPr>
          <w:ilvl w:val="0"/>
          <w:numId w:val="0"/>
        </w:num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七、免除审查</w:t>
      </w:r>
    </w:p>
    <w:p w14:paraId="55C7CA99">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符合以下情况的生物医学研究项目可以免除审查</w:t>
      </w:r>
      <w:r>
        <w:rPr>
          <w:rFonts w:hint="eastAsia" w:asciiTheme="majorEastAsia" w:hAnsiTheme="majorEastAsia" w:eastAsiaTheme="majorEastAsia" w:cstheme="majorEastAsia"/>
          <w:sz w:val="21"/>
          <w:szCs w:val="21"/>
          <w:lang w:eastAsia="zh-CN"/>
        </w:rPr>
        <w:t>：</w:t>
      </w:r>
    </w:p>
    <w:p w14:paraId="74318142">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在正常的教育、培训环境下开展的研究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如</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①对常规和特殊教学方法的研究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②关于教学方法、课程或课堂管理的效果研究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或对不同的教学方法、课程或课堂管理进行对比研究</w:t>
      </w:r>
      <w:r>
        <w:rPr>
          <w:rFonts w:hint="eastAsia" w:asciiTheme="majorEastAsia" w:hAnsiTheme="majorEastAsia" w:eastAsiaTheme="majorEastAsia" w:cstheme="majorEastAsia"/>
          <w:sz w:val="21"/>
          <w:szCs w:val="21"/>
          <w:lang w:eastAsia="zh-CN"/>
        </w:rPr>
        <w:t>。</w:t>
      </w:r>
    </w:p>
    <w:p w14:paraId="2061F76B">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涉及教育、培训测试(认知、判断、态度、成效</w:t>
      </w:r>
      <w:r>
        <w:rPr>
          <w:rFonts w:hint="eastAsia" w:asciiTheme="majorEastAsia" w:hAnsiTheme="majorEastAsia" w:eastAsiaTheme="majorEastAsia" w:cstheme="majorEastAsia"/>
          <w:sz w:val="21"/>
          <w:szCs w:val="21"/>
          <w:lang w:val="en-US" w:eastAsia="zh-CN"/>
        </w:rPr>
        <w:t>)</w:t>
      </w:r>
      <w:r>
        <w:rPr>
          <w:rFonts w:hint="eastAsia" w:asciiTheme="majorEastAsia" w:hAnsiTheme="majorEastAsia" w:eastAsiaTheme="majorEastAsia" w:cstheme="majorEastAsia"/>
          <w:sz w:val="21"/>
          <w:szCs w:val="21"/>
        </w:rPr>
        <w:t>、访谈调查、或公共行为观察的</w:t>
      </w:r>
      <w:r>
        <w:rPr>
          <w:rFonts w:hint="eastAsia" w:asciiTheme="majorEastAsia" w:hAnsiTheme="majorEastAsia" w:eastAsiaTheme="majorEastAsia" w:cstheme="majorEastAsia"/>
          <w:sz w:val="21"/>
          <w:szCs w:val="21"/>
          <w:lang w:eastAsia="zh-CN"/>
        </w:rPr>
        <w:t>研究。</w:t>
      </w:r>
    </w:p>
    <w:p w14:paraId="35BDEA3B">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◆以下情况不能免除审查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①以直接或通过标识符的方式记录受试者信息</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②在研究以外公开受试者信息可能会让受试者承担刑事或民事责任的风险</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或损害受试者的经济、就业或名誉</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③上述不能免除审查的情况</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如果受试者为政府官员或政府官员候选人</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或者国家有关法规要求在研究过程中及研究后对私人信息必须保密的情况</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则可以免除审查</w:t>
      </w:r>
      <w:r>
        <w:rPr>
          <w:rFonts w:hint="eastAsia" w:asciiTheme="majorEastAsia" w:hAnsiTheme="majorEastAsia" w:eastAsiaTheme="majorEastAsia" w:cstheme="majorEastAsia"/>
          <w:sz w:val="21"/>
          <w:szCs w:val="21"/>
          <w:lang w:eastAsia="zh-CN"/>
        </w:rPr>
        <w:t>。</w:t>
      </w:r>
    </w:p>
    <w:p w14:paraId="649A9226">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◆“涉及访谈调查</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公共行为观察的研究”的免除审查一般不适用于儿童与未成年人</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除非研究者不参与被观察的公共行为</w:t>
      </w:r>
      <w:r>
        <w:rPr>
          <w:rFonts w:hint="eastAsia" w:asciiTheme="majorEastAsia" w:hAnsiTheme="majorEastAsia" w:eastAsiaTheme="majorEastAsia" w:cstheme="majorEastAsia"/>
          <w:sz w:val="21"/>
          <w:szCs w:val="21"/>
          <w:lang w:eastAsia="zh-CN"/>
        </w:rPr>
        <w:t>。</w:t>
      </w:r>
    </w:p>
    <w:p w14:paraId="48CC6EE2">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对于既往存档的数据、文件、记录、病理标本或诊断标本的收集或研究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并且这些资源是公共资源</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或者是以研究者无法联系受试者的方式(直接联系或通过标识符)记录信息的</w:t>
      </w:r>
      <w:r>
        <w:rPr>
          <w:rFonts w:hint="eastAsia" w:asciiTheme="majorEastAsia" w:hAnsiTheme="majorEastAsia" w:eastAsiaTheme="majorEastAsia" w:cstheme="majorEastAsia"/>
          <w:sz w:val="21"/>
          <w:szCs w:val="21"/>
          <w:lang w:eastAsia="zh-CN"/>
        </w:rPr>
        <w:t>。</w:t>
      </w:r>
    </w:p>
    <w:p w14:paraId="228D942A">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食品口味和质量评价以及消费者接受性研究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①研究用健康食品不含添加剂</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或②研究用食品所含食品添加剂在安全范围</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且不超过国家有关部门标准</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或化学农药或环境污染物含量不超出国家有关部门的安全范围</w:t>
      </w:r>
      <w:r>
        <w:rPr>
          <w:rFonts w:hint="eastAsia" w:asciiTheme="majorEastAsia" w:hAnsiTheme="majorEastAsia" w:eastAsiaTheme="majorEastAsia" w:cstheme="majorEastAsia"/>
          <w:sz w:val="21"/>
          <w:szCs w:val="21"/>
          <w:lang w:eastAsia="zh-CN"/>
        </w:rPr>
        <w:t>。</w:t>
      </w:r>
    </w:p>
    <w:p w14:paraId="0442D631">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关于特殊受试人群免除审查的规定</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免除审查不适用于涉及孕妇、胎儿、新生</w:t>
      </w:r>
      <w:r>
        <w:rPr>
          <w:rFonts w:hint="eastAsia" w:asciiTheme="majorEastAsia" w:hAnsiTheme="majorEastAsia" w:eastAsiaTheme="majorEastAsia" w:cstheme="majorEastAsia"/>
          <w:sz w:val="21"/>
          <w:szCs w:val="21"/>
          <w:lang w:eastAsia="zh-CN"/>
        </w:rPr>
        <w:t>儿</w:t>
      </w:r>
      <w:r>
        <w:rPr>
          <w:rFonts w:hint="eastAsia" w:asciiTheme="majorEastAsia" w:hAnsiTheme="majorEastAsia" w:eastAsiaTheme="majorEastAsia" w:cstheme="majorEastAsia"/>
          <w:sz w:val="21"/>
          <w:szCs w:val="21"/>
        </w:rPr>
        <w:t>、试管</w:t>
      </w:r>
    </w:p>
    <w:p w14:paraId="0587B44A">
      <w:pPr>
        <w:numPr>
          <w:ilvl w:val="0"/>
          <w:numId w:val="0"/>
        </w:numPr>
        <w:spacing w:line="360" w:lineRule="auto"/>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婴儿、精神障碍人员和服刑劳教人员的研究</w:t>
      </w:r>
      <w:r>
        <w:rPr>
          <w:rFonts w:hint="eastAsia" w:asciiTheme="majorEastAsia" w:hAnsiTheme="majorEastAsia" w:eastAsiaTheme="majorEastAsia" w:cstheme="majorEastAsia"/>
          <w:sz w:val="21"/>
          <w:szCs w:val="21"/>
          <w:lang w:eastAsia="zh-CN"/>
        </w:rPr>
        <w:t>。</w:t>
      </w:r>
    </w:p>
    <w:p w14:paraId="44F4C073">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研究者不能自行做出“免除伦理审查”的判断</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应向研究伦理委员会提交免除审查申请</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以及研究方案等相关材料</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由伦理委员会主任或授权者审核确定。</w:t>
      </w:r>
    </w:p>
    <w:p w14:paraId="03EFD2C4">
      <w:pPr>
        <w:numPr>
          <w:ilvl w:val="0"/>
          <w:numId w:val="0"/>
        </w:num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八、免除知情同意</w:t>
      </w:r>
    </w:p>
    <w:p w14:paraId="477691CB">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1.利用以往临床诊疗中获得的医疗记录和生物标本的研究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并且符合以下全部条件可以申请免除知情同意</w:t>
      </w:r>
      <w:r>
        <w:rPr>
          <w:rFonts w:hint="eastAsia" w:asciiTheme="majorEastAsia" w:hAnsiTheme="majorEastAsia" w:eastAsiaTheme="majorEastAsia" w:cstheme="majorEastAsia"/>
          <w:sz w:val="21"/>
          <w:szCs w:val="21"/>
          <w:lang w:eastAsia="zh-CN"/>
        </w:rPr>
        <w:t>：</w:t>
      </w:r>
    </w:p>
    <w:p w14:paraId="63D5E9F5">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·研究目的是重要的。</w:t>
      </w:r>
    </w:p>
    <w:p w14:paraId="2226A63C">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·研究对受试者的风险不大于最小风险</w:t>
      </w:r>
      <w:r>
        <w:rPr>
          <w:rFonts w:hint="eastAsia" w:asciiTheme="majorEastAsia" w:hAnsiTheme="majorEastAsia" w:eastAsiaTheme="majorEastAsia" w:cstheme="majorEastAsia"/>
          <w:sz w:val="21"/>
          <w:szCs w:val="21"/>
          <w:lang w:eastAsia="zh-CN"/>
        </w:rPr>
        <w:t>。</w:t>
      </w:r>
    </w:p>
    <w:p w14:paraId="36A9AFE3">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·免除知情同意不会对受试者的权利和健康产生不利的影响。</w:t>
      </w:r>
    </w:p>
    <w:p w14:paraId="6790CFF6">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·受试者的隐私和个人身份信息得到保护</w:t>
      </w:r>
      <w:r>
        <w:rPr>
          <w:rFonts w:hint="eastAsia" w:asciiTheme="majorEastAsia" w:hAnsiTheme="majorEastAsia" w:eastAsiaTheme="majorEastAsia" w:cstheme="majorEastAsia"/>
          <w:sz w:val="21"/>
          <w:szCs w:val="21"/>
          <w:lang w:eastAsia="zh-CN"/>
        </w:rPr>
        <w:t>。</w:t>
      </w:r>
    </w:p>
    <w:p w14:paraId="6ADED7D8">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·若规定需获取知情同意</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研究将无法进行(</w:t>
      </w:r>
      <w:r>
        <w:rPr>
          <w:rFonts w:hint="eastAsia" w:asciiTheme="majorEastAsia" w:hAnsiTheme="majorEastAsia" w:eastAsiaTheme="majorEastAsia" w:cstheme="majorEastAsia"/>
          <w:sz w:val="21"/>
          <w:szCs w:val="21"/>
          <w:lang w:eastAsia="zh-CN"/>
        </w:rPr>
        <w:t>病</w:t>
      </w:r>
      <w:r>
        <w:rPr>
          <w:rFonts w:hint="eastAsia" w:asciiTheme="majorEastAsia" w:hAnsiTheme="majorEastAsia" w:eastAsiaTheme="majorEastAsia" w:cstheme="majorEastAsia"/>
          <w:sz w:val="21"/>
          <w:szCs w:val="21"/>
        </w:rPr>
        <w:t>人</w:t>
      </w:r>
      <w:r>
        <w:rPr>
          <w:rFonts w:hint="eastAsia" w:asciiTheme="majorEastAsia" w:hAnsiTheme="majorEastAsia" w:eastAsiaTheme="majorEastAsia" w:cstheme="majorEastAsia"/>
          <w:sz w:val="21"/>
          <w:szCs w:val="21"/>
          <w:lang w:val="en-US" w:eastAsia="zh-CN"/>
        </w:rPr>
        <w:t>/</w:t>
      </w:r>
      <w:r>
        <w:rPr>
          <w:rFonts w:hint="eastAsia" w:asciiTheme="majorEastAsia" w:hAnsiTheme="majorEastAsia" w:eastAsiaTheme="majorEastAsia" w:cstheme="majorEastAsia"/>
          <w:sz w:val="21"/>
          <w:szCs w:val="21"/>
        </w:rPr>
        <w:t>受试者拒绝或不同意参加研究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不是研究无法实施、免除知情同意的理由)</w:t>
      </w:r>
      <w:r>
        <w:rPr>
          <w:rFonts w:hint="eastAsia" w:asciiTheme="majorEastAsia" w:hAnsiTheme="majorEastAsia" w:eastAsiaTheme="majorEastAsia" w:cstheme="majorEastAsia"/>
          <w:sz w:val="21"/>
          <w:szCs w:val="21"/>
          <w:lang w:eastAsia="zh-CN"/>
        </w:rPr>
        <w:t>。</w:t>
      </w:r>
    </w:p>
    <w:p w14:paraId="1249AE22">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·只要有可能</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应在研究后的适当时候向受试者提供适当的有关信息。</w:t>
      </w:r>
    </w:p>
    <w:p w14:paraId="2B224C51">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若病人/受试者先前已明确拒绝在将来的研究中使用其医疗记录和标本</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则该受试者的医疗记录和标本只有在公共卫生紧急情况需要时才可被使用</w:t>
      </w:r>
      <w:r>
        <w:rPr>
          <w:rFonts w:hint="eastAsia" w:asciiTheme="majorEastAsia" w:hAnsiTheme="majorEastAsia" w:eastAsiaTheme="majorEastAsia" w:cstheme="majorEastAsia"/>
          <w:sz w:val="21"/>
          <w:szCs w:val="21"/>
          <w:lang w:eastAsia="zh-CN"/>
        </w:rPr>
        <w:t>。</w:t>
      </w:r>
    </w:p>
    <w:p w14:paraId="7287CBE6">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2.利用以往研究中获得的医疗记录和生物标本的研究(研究病历/生物标本的二次</w:t>
      </w:r>
      <w:r>
        <w:rPr>
          <w:rFonts w:hint="eastAsia" w:asciiTheme="majorEastAsia" w:hAnsiTheme="majorEastAsia" w:eastAsiaTheme="majorEastAsia" w:cstheme="majorEastAsia"/>
          <w:sz w:val="21"/>
          <w:szCs w:val="21"/>
          <w:lang w:eastAsia="zh-CN"/>
        </w:rPr>
        <w:t>使用</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并且符合以下全部条件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可以申请免除知情同意</w:t>
      </w:r>
      <w:r>
        <w:rPr>
          <w:rFonts w:hint="eastAsia" w:asciiTheme="majorEastAsia" w:hAnsiTheme="majorEastAsia" w:eastAsiaTheme="majorEastAsia" w:cstheme="majorEastAsia"/>
          <w:sz w:val="21"/>
          <w:szCs w:val="21"/>
          <w:lang w:eastAsia="zh-CN"/>
        </w:rPr>
        <w:t>：</w:t>
      </w:r>
    </w:p>
    <w:p w14:paraId="610E20D3">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以往研究已获得受试者的书面同意</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允许其他的研究项目使用其病历或标本。</w:t>
      </w:r>
    </w:p>
    <w:p w14:paraId="5C4AC10F">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本次研究符合原知情同意的许可条件</w:t>
      </w:r>
      <w:r>
        <w:rPr>
          <w:rFonts w:hint="eastAsia" w:asciiTheme="majorEastAsia" w:hAnsiTheme="majorEastAsia" w:eastAsiaTheme="majorEastAsia" w:cstheme="majorEastAsia"/>
          <w:sz w:val="21"/>
          <w:szCs w:val="21"/>
          <w:lang w:eastAsia="zh-CN"/>
        </w:rPr>
        <w:t>。</w:t>
      </w:r>
    </w:p>
    <w:p w14:paraId="7168A5E2">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受试者的隐私和身份信息的保密得到保证。</w:t>
      </w:r>
    </w:p>
    <w:p w14:paraId="0C03921F">
      <w:pPr>
        <w:numPr>
          <w:ilvl w:val="0"/>
          <w:numId w:val="0"/>
        </w:num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九、免除知情同意书签字</w:t>
      </w:r>
    </w:p>
    <w:p w14:paraId="03C01300">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以下两种情况可以申请免除知情同意签字</w:t>
      </w:r>
      <w:r>
        <w:rPr>
          <w:rFonts w:hint="eastAsia" w:asciiTheme="majorEastAsia" w:hAnsiTheme="majorEastAsia" w:eastAsiaTheme="majorEastAsia" w:cstheme="majorEastAsia"/>
          <w:sz w:val="21"/>
          <w:szCs w:val="21"/>
          <w:lang w:eastAsia="zh-CN"/>
        </w:rPr>
        <w:t>：</w:t>
      </w:r>
    </w:p>
    <w:p w14:paraId="1D826D3F">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default" w:ascii="Calibri" w:hAnsi="Calibri" w:cs="Calibri" w:eastAsiaTheme="majorEastAsia"/>
          <w:sz w:val="21"/>
          <w:szCs w:val="21"/>
        </w:rPr>
        <w:t>①</w:t>
      </w:r>
      <w:r>
        <w:rPr>
          <w:rFonts w:hint="eastAsia" w:asciiTheme="majorEastAsia" w:hAnsiTheme="majorEastAsia" w:eastAsiaTheme="majorEastAsia" w:cstheme="majorEastAsia"/>
          <w:sz w:val="21"/>
          <w:szCs w:val="21"/>
        </w:rPr>
        <w:t>当一份签了字的知情同意书会对受试者的隐私成不正当的威胁</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联系受试者真实身份和研究的唯一记录是知情同意文件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并且主要风险就来自于受试者身份或个人隐私的泄露。在这种情况下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应该遵循每一位受试者本人的意愿是否签署书面知情同意文件</w:t>
      </w:r>
      <w:r>
        <w:rPr>
          <w:rFonts w:hint="eastAsia" w:asciiTheme="majorEastAsia" w:hAnsiTheme="majorEastAsia" w:eastAsiaTheme="majorEastAsia" w:cstheme="majorEastAsia"/>
          <w:sz w:val="21"/>
          <w:szCs w:val="21"/>
          <w:lang w:eastAsia="zh-CN"/>
        </w:rPr>
        <w:t>。</w:t>
      </w:r>
    </w:p>
    <w:p w14:paraId="47DED435">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default" w:ascii="Calibri" w:hAnsi="Calibri" w:cs="Calibri" w:eastAsiaTheme="majorEastAsia"/>
          <w:sz w:val="21"/>
          <w:szCs w:val="21"/>
        </w:rPr>
        <w:t>②</w:t>
      </w:r>
      <w:r>
        <w:rPr>
          <w:rFonts w:hint="eastAsia" w:asciiTheme="majorEastAsia" w:hAnsiTheme="majorEastAsia" w:eastAsiaTheme="majorEastAsia" w:cstheme="majorEastAsia"/>
          <w:sz w:val="21"/>
          <w:szCs w:val="21"/>
        </w:rPr>
        <w:t>研究对受试者的风险不大于最小风险</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并且如果脱离“研究”背景</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相同情况下的行为或程序不要求签署书面知情同意</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例如</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访谈研究</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邮件/电话调查</w:t>
      </w:r>
      <w:r>
        <w:rPr>
          <w:rFonts w:hint="eastAsia" w:asciiTheme="majorEastAsia" w:hAnsiTheme="majorEastAsia" w:eastAsiaTheme="majorEastAsia" w:cstheme="majorEastAsia"/>
          <w:sz w:val="21"/>
          <w:szCs w:val="21"/>
          <w:lang w:eastAsia="zh-CN"/>
        </w:rPr>
        <w:t>。</w:t>
      </w:r>
    </w:p>
    <w:p w14:paraId="586061C7">
      <w:pPr>
        <w:numPr>
          <w:ilvl w:val="0"/>
          <w:numId w:val="0"/>
        </w:numPr>
        <w:spacing w:line="360" w:lineRule="auto"/>
        <w:ind w:firstLine="420" w:firstLineChars="200"/>
        <w:jc w:val="both"/>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对于批准免除签署书面知情同意文件的研究项目</w:t>
      </w:r>
      <w:r>
        <w:rPr>
          <w:rFonts w:hint="eastAsia" w:asciiTheme="majorEastAsia" w:hAnsiTheme="majorEastAsia" w:eastAsiaTheme="majorEastAsia" w:cstheme="majorEastAsia"/>
          <w:sz w:val="21"/>
          <w:szCs w:val="21"/>
          <w:lang w:eastAsia="zh-CN"/>
        </w:rPr>
        <w:t>，伦</w:t>
      </w:r>
      <w:r>
        <w:rPr>
          <w:rFonts w:hint="eastAsia" w:asciiTheme="majorEastAsia" w:hAnsiTheme="majorEastAsia" w:eastAsiaTheme="majorEastAsia" w:cstheme="majorEastAsia"/>
          <w:sz w:val="21"/>
          <w:szCs w:val="21"/>
        </w:rPr>
        <w:t>理委员会可以要求研究者向受试者提供书面告知信息</w:t>
      </w:r>
      <w:r>
        <w:rPr>
          <w:rFonts w:hint="eastAsia" w:asciiTheme="majorEastAsia" w:hAnsiTheme="majorEastAsia" w:eastAsiaTheme="majorEastAsia" w:cstheme="majorEastAsia"/>
          <w:sz w:val="21"/>
          <w:szCs w:val="21"/>
          <w:lang w:eastAsia="zh-CN"/>
        </w:rPr>
        <w:t>。</w:t>
      </w:r>
    </w:p>
    <w:p w14:paraId="06F3D2EE">
      <w:pPr>
        <w:spacing w:line="360" w:lineRule="auto"/>
        <w:ind w:firstLine="422" w:firstLineChars="200"/>
        <w:jc w:val="both"/>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十、联系方式</w:t>
      </w:r>
    </w:p>
    <w:p w14:paraId="1155D745">
      <w:pPr>
        <w:spacing w:line="360" w:lineRule="auto"/>
        <w:ind w:firstLine="420" w:firstLineChars="200"/>
        <w:jc w:val="both"/>
        <w:rPr>
          <w:rFonts w:hint="eastAsia" w:asciiTheme="majorEastAsia" w:hAnsiTheme="majorEastAsia" w:eastAsiaTheme="majorEastAsia" w:cstheme="majorEastAsia"/>
          <w:sz w:val="21"/>
          <w:szCs w:val="21"/>
          <w:highlight w:val="none"/>
          <w:lang w:eastAsia="zh-CN"/>
        </w:rPr>
      </w:pPr>
      <w:r>
        <w:rPr>
          <w:rFonts w:hint="eastAsia" w:asciiTheme="majorEastAsia" w:hAnsiTheme="majorEastAsia" w:eastAsiaTheme="majorEastAsia" w:cstheme="majorEastAsia"/>
          <w:sz w:val="21"/>
          <w:szCs w:val="21"/>
          <w:lang w:eastAsia="zh-CN"/>
        </w:rPr>
        <w:t>伦理委员会地址：</w:t>
      </w:r>
      <w:r>
        <w:rPr>
          <w:rFonts w:hint="eastAsia" w:asciiTheme="majorEastAsia" w:hAnsiTheme="majorEastAsia" w:eastAsiaTheme="majorEastAsia" w:cstheme="majorEastAsia"/>
          <w:sz w:val="21"/>
          <w:szCs w:val="21"/>
          <w:highlight w:val="none"/>
          <w:lang w:eastAsia="zh-CN"/>
        </w:rPr>
        <w:t>温州医科大学附属第二医院龙湾院区行政</w:t>
      </w:r>
      <w:r>
        <w:rPr>
          <w:rFonts w:hint="default" w:asciiTheme="majorEastAsia" w:hAnsiTheme="majorEastAsia" w:eastAsiaTheme="majorEastAsia" w:cstheme="majorEastAsia"/>
          <w:sz w:val="21"/>
          <w:szCs w:val="21"/>
          <w:highlight w:val="none"/>
          <w:lang w:eastAsia="zh-CN"/>
        </w:rPr>
        <w:t>北楼</w:t>
      </w:r>
      <w:r>
        <w:rPr>
          <w:rFonts w:hint="eastAsia" w:asciiTheme="majorEastAsia" w:hAnsiTheme="majorEastAsia" w:eastAsiaTheme="majorEastAsia" w:cstheme="majorEastAsia"/>
          <w:sz w:val="21"/>
          <w:szCs w:val="21"/>
          <w:highlight w:val="none"/>
          <w:lang w:val="en-US" w:eastAsia="zh-CN"/>
        </w:rPr>
        <w:t>1001室</w:t>
      </w:r>
    </w:p>
    <w:p w14:paraId="2D2C826E">
      <w:pPr>
        <w:spacing w:line="360" w:lineRule="auto"/>
        <w:ind w:firstLine="420" w:firstLineChars="200"/>
        <w:jc w:val="both"/>
        <w:rPr>
          <w:rFonts w:hint="default" w:asciiTheme="majorEastAsia" w:hAnsiTheme="majorEastAsia" w:eastAsiaTheme="majorEastAsia" w:cstheme="majorEastAsia"/>
          <w:sz w:val="21"/>
          <w:szCs w:val="21"/>
          <w:highlight w:val="none"/>
          <w:lang w:val="en-US" w:eastAsia="zh-CN"/>
        </w:rPr>
      </w:pPr>
      <w:r>
        <w:rPr>
          <w:rFonts w:hint="eastAsia" w:asciiTheme="majorEastAsia" w:hAnsiTheme="majorEastAsia" w:eastAsiaTheme="majorEastAsia" w:cstheme="majorEastAsia"/>
          <w:sz w:val="21"/>
          <w:szCs w:val="21"/>
          <w:highlight w:val="none"/>
        </w:rPr>
        <w:t>伦理委员会办公室电话</w:t>
      </w:r>
      <w:r>
        <w:rPr>
          <w:rFonts w:hint="eastAsia" w:asciiTheme="majorEastAsia" w:hAnsiTheme="majorEastAsia" w:eastAsiaTheme="majorEastAsia" w:cstheme="majorEastAsia"/>
          <w:sz w:val="21"/>
          <w:szCs w:val="21"/>
          <w:highlight w:val="none"/>
          <w:lang w:val="en-US" w:eastAsia="zh-CN"/>
        </w:rPr>
        <w:t>：0577-8</w:t>
      </w:r>
      <w:r>
        <w:rPr>
          <w:rFonts w:hint="default" w:asciiTheme="majorEastAsia" w:hAnsiTheme="majorEastAsia" w:eastAsiaTheme="majorEastAsia" w:cstheme="majorEastAsia"/>
          <w:sz w:val="21"/>
          <w:szCs w:val="21"/>
          <w:highlight w:val="none"/>
          <w:lang w:eastAsia="zh-CN"/>
        </w:rPr>
        <w:t>5676879</w:t>
      </w:r>
      <w:r>
        <w:rPr>
          <w:rFonts w:hint="eastAsia" w:asciiTheme="majorEastAsia" w:hAnsiTheme="majorEastAsia" w:eastAsiaTheme="majorEastAsia" w:cstheme="majorEastAsia"/>
          <w:sz w:val="21"/>
          <w:szCs w:val="21"/>
          <w:highlight w:val="none"/>
          <w:lang w:val="en-US" w:eastAsia="zh-CN"/>
        </w:rPr>
        <w:t xml:space="preserve">  </w:t>
      </w:r>
      <w:r>
        <w:rPr>
          <w:rFonts w:hint="eastAsia" w:asciiTheme="majorEastAsia" w:hAnsiTheme="majorEastAsia" w:eastAsiaTheme="majorEastAsia" w:cstheme="majorEastAsia"/>
          <w:sz w:val="21"/>
          <w:szCs w:val="21"/>
          <w:highlight w:val="none"/>
        </w:rPr>
        <w:t>联系人</w:t>
      </w:r>
      <w:r>
        <w:rPr>
          <w:rFonts w:hint="eastAsia" w:asciiTheme="majorEastAsia" w:hAnsiTheme="majorEastAsia" w:eastAsiaTheme="majorEastAsia" w:cstheme="majorEastAsia"/>
          <w:sz w:val="21"/>
          <w:szCs w:val="21"/>
          <w:highlight w:val="none"/>
          <w:lang w:eastAsia="zh-CN"/>
        </w:rPr>
        <w:t>：</w:t>
      </w:r>
      <w:r>
        <w:rPr>
          <w:rFonts w:hint="eastAsia" w:asciiTheme="majorEastAsia" w:hAnsiTheme="majorEastAsia" w:eastAsiaTheme="majorEastAsia" w:cstheme="majorEastAsia"/>
          <w:sz w:val="21"/>
          <w:szCs w:val="21"/>
          <w:highlight w:val="none"/>
          <w:lang w:val="en-US" w:eastAsia="zh-CN"/>
        </w:rPr>
        <w:t xml:space="preserve"> 陈苑</w:t>
      </w:r>
    </w:p>
    <w:p w14:paraId="091D4A2A">
      <w:pPr>
        <w:spacing w:line="360" w:lineRule="auto"/>
        <w:ind w:firstLine="420" w:firstLineChars="20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 xml:space="preserve"> Email</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feykjkcy@126.com</w:t>
      </w:r>
    </w:p>
    <w:p w14:paraId="3924E3AF">
      <w:pPr>
        <w:jc w:val="both"/>
        <w:rPr>
          <w:rFonts w:hint="default"/>
          <w:sz w:val="32"/>
          <w:szCs w:val="40"/>
          <w:lang w:val="en-US" w:eastAsia="zh-CN"/>
        </w:rPr>
      </w:pPr>
    </w:p>
    <w:p w14:paraId="0026FDAC">
      <w:pPr>
        <w:jc w:val="both"/>
        <w:rPr>
          <w:rFonts w:hint="default"/>
          <w:sz w:val="32"/>
          <w:szCs w:val="40"/>
          <w:lang w:val="en-US" w:eastAsia="zh-CN"/>
        </w:rPr>
      </w:pPr>
    </w:p>
    <w:p w14:paraId="36F00CC1">
      <w:pPr>
        <w:jc w:val="both"/>
        <w:rPr>
          <w:rFonts w:hint="default"/>
          <w:sz w:val="32"/>
          <w:szCs w:val="40"/>
          <w:lang w:val="en-US" w:eastAsia="zh-CN"/>
        </w:rPr>
      </w:pPr>
    </w:p>
    <w:p w14:paraId="10ECE85B">
      <w:pPr>
        <w:jc w:val="both"/>
        <w:rPr>
          <w:rFonts w:hint="default"/>
          <w:sz w:val="32"/>
          <w:szCs w:val="40"/>
          <w:lang w:val="en-US" w:eastAsia="zh-CN"/>
        </w:rPr>
      </w:pPr>
    </w:p>
    <w:p w14:paraId="0B46D6E0">
      <w:pPr>
        <w:jc w:val="both"/>
        <w:rPr>
          <w:rFonts w:hint="default"/>
          <w:sz w:val="32"/>
          <w:szCs w:val="40"/>
          <w:lang w:val="en-US" w:eastAsia="zh-CN"/>
        </w:rPr>
      </w:pPr>
    </w:p>
    <w:p w14:paraId="2E3C10DF">
      <w:pPr>
        <w:jc w:val="both"/>
        <w:rPr>
          <w:rFonts w:hint="default"/>
          <w:sz w:val="32"/>
          <w:szCs w:val="40"/>
          <w:lang w:val="en-US" w:eastAsia="zh-CN"/>
        </w:rPr>
      </w:pPr>
    </w:p>
    <w:p w14:paraId="2439BA96">
      <w:pPr>
        <w:jc w:val="both"/>
        <w:rPr>
          <w:rFonts w:hint="default"/>
          <w:sz w:val="32"/>
          <w:szCs w:val="40"/>
          <w:lang w:val="en-US" w:eastAsia="zh-CN"/>
        </w:rPr>
      </w:pPr>
    </w:p>
    <w:p w14:paraId="65FDEBEB">
      <w:pPr>
        <w:jc w:val="both"/>
        <w:rPr>
          <w:rFonts w:hint="default"/>
          <w:sz w:val="32"/>
          <w:szCs w:val="40"/>
          <w:lang w:val="en-US" w:eastAsia="zh-CN"/>
        </w:rPr>
      </w:pPr>
    </w:p>
    <w:p w14:paraId="28728D4C">
      <w:pPr>
        <w:jc w:val="both"/>
        <w:rPr>
          <w:rFonts w:hint="default"/>
          <w:sz w:val="32"/>
          <w:szCs w:val="40"/>
          <w:lang w:val="en-US" w:eastAsia="zh-CN"/>
        </w:rPr>
      </w:pPr>
    </w:p>
    <w:p w14:paraId="1FB23DB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868AF"/>
    <w:multiLevelType w:val="singleLevel"/>
    <w:tmpl w:val="B61868AF"/>
    <w:lvl w:ilvl="0" w:tentative="0">
      <w:start w:val="1"/>
      <w:numFmt w:val="bullet"/>
      <w:lvlText w:val=""/>
      <w:lvlJc w:val="left"/>
      <w:pPr>
        <w:ind w:left="840" w:hanging="420"/>
      </w:pPr>
      <w:rPr>
        <w:rFonts w:hint="default" w:ascii="Wingdings" w:hAnsi="Wingdings"/>
      </w:rPr>
    </w:lvl>
  </w:abstractNum>
  <w:abstractNum w:abstractNumId="1">
    <w:nsid w:val="5F53AF32"/>
    <w:multiLevelType w:val="singleLevel"/>
    <w:tmpl w:val="5F53AF32"/>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D4C7A"/>
    <w:rsid w:val="412D4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2025-09-08T02:44:00Z</dcterms:created>
  <dc:creator>陈苑</dc:creator>
  <cp:lastModifiedBy>陈苑</cp:lastModifiedBy>
  <dcterms:modified xsi:type="dcterms:W3CDTF">2025-09-08T02:46:46Z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CAD34916944E4E54ACCC70D347ED748C_11</vt:lpwstr>
  </property>
  <property fmtid="{D5CDD505-2E9C-101B-9397-08002B2CF9AE}" pid="4" name="KSOTemplateDocerSaveRecord">
    <vt:lpwstr>eyJoZGlkIjoiYWUxZGNiODhjODU2MjllMTYwMTIzOTg3MzY5ODdkNzAiLCJ1c2VySWQiOiI0MTgxMjI0NTkifQ==</vt:lpwstr>
  </property>
</Properties>
</file>