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B07D">
      <w:pPr>
        <w:spacing w:line="360" w:lineRule="auto"/>
        <w:jc w:val="center"/>
        <w:rPr>
          <w:rFonts w:hint="eastAsia" w:ascii="黑体" w:hAnsi="黑体" w:eastAsia="黑体"/>
          <w:b/>
          <w:bCs/>
          <w:sz w:val="36"/>
          <w:szCs w:val="36"/>
        </w:rPr>
      </w:pPr>
      <w:r>
        <w:rPr>
          <w:rFonts w:hint="eastAsia" w:ascii="黑体" w:hAnsi="黑体" w:eastAsia="黑体"/>
          <w:b/>
          <w:bCs/>
          <w:sz w:val="36"/>
          <w:szCs w:val="36"/>
        </w:rPr>
        <w:t>温州医科大学附属第二医院</w:t>
      </w:r>
    </w:p>
    <w:p w14:paraId="58BD90E4">
      <w:pPr>
        <w:spacing w:line="360" w:lineRule="auto"/>
        <w:jc w:val="center"/>
        <w:rPr>
          <w:rFonts w:hint="eastAsia" w:ascii="黑体" w:hAnsi="黑体" w:eastAsia="黑体"/>
          <w:b/>
          <w:bCs/>
          <w:sz w:val="36"/>
          <w:szCs w:val="36"/>
        </w:rPr>
      </w:pPr>
      <w:r>
        <w:rPr>
          <w:rFonts w:hint="eastAsia" w:ascii="黑体" w:hAnsi="黑体" w:eastAsia="黑体"/>
          <w:b/>
          <w:bCs/>
          <w:sz w:val="36"/>
          <w:szCs w:val="36"/>
        </w:rPr>
        <w:t>医院自行采购报价须知与技术规格要求</w:t>
      </w:r>
    </w:p>
    <w:p w14:paraId="420D1FDC">
      <w:pPr>
        <w:spacing w:before="156"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lang w:eastAsia="zh-CN"/>
        </w:rPr>
        <w:t>须知</w:t>
      </w:r>
      <w:r>
        <w:rPr>
          <w:rFonts w:hint="eastAsia"/>
          <w:b/>
          <w:bCs/>
          <w:sz w:val="30"/>
          <w:szCs w:val="30"/>
        </w:rPr>
        <w:t>：</w:t>
      </w:r>
    </w:p>
    <w:p w14:paraId="750C062D">
      <w:pPr>
        <w:pStyle w:val="8"/>
        <w:numPr>
          <w:ilvl w:val="-1"/>
          <w:numId w:val="0"/>
        </w:numPr>
        <w:spacing w:line="360" w:lineRule="auto"/>
        <w:ind w:left="0" w:firstLine="0" w:firstLineChars="0"/>
        <w:rPr>
          <w:b/>
          <w:bCs/>
          <w:sz w:val="24"/>
          <w:szCs w:val="32"/>
        </w:rPr>
      </w:pPr>
      <w:r>
        <w:rPr>
          <w:rFonts w:hint="eastAsia"/>
          <w:b/>
          <w:bCs/>
          <w:sz w:val="24"/>
          <w:szCs w:val="32"/>
        </w:rPr>
        <w:t>需于截止日期前递交报价资料至</w:t>
      </w:r>
      <w:r>
        <w:rPr>
          <w:rFonts w:hint="eastAsia"/>
          <w:b/>
          <w:bCs/>
          <w:sz w:val="24"/>
          <w:szCs w:val="32"/>
          <w:lang w:val="en-US" w:eastAsia="zh-CN"/>
        </w:rPr>
        <w:t>后勤保障部</w:t>
      </w:r>
      <w:r>
        <w:rPr>
          <w:rFonts w:hint="eastAsia"/>
          <w:b/>
          <w:bCs/>
          <w:sz w:val="24"/>
          <w:szCs w:val="32"/>
        </w:rPr>
        <w:t>，所有资料均需加盖企业</w:t>
      </w:r>
      <w:r>
        <w:rPr>
          <w:rFonts w:hint="eastAsia"/>
          <w:b/>
          <w:bCs/>
          <w:sz w:val="24"/>
          <w:szCs w:val="32"/>
          <w:lang w:eastAsia="zh-CN"/>
        </w:rPr>
        <w:t>公章</w:t>
      </w:r>
      <w:r>
        <w:rPr>
          <w:rFonts w:hint="eastAsia"/>
          <w:b/>
          <w:bCs/>
          <w:sz w:val="24"/>
          <w:szCs w:val="32"/>
        </w:rPr>
        <w:t>，包括但不仅限于以下资料：</w:t>
      </w:r>
    </w:p>
    <w:p w14:paraId="73805BF4">
      <w:pPr>
        <w:spacing w:line="360" w:lineRule="auto"/>
        <w:rPr>
          <w:rFonts w:ascii="宋体" w:hAnsi="宋体"/>
          <w:b/>
          <w:bCs/>
          <w:sz w:val="24"/>
        </w:rPr>
      </w:pPr>
      <w:r>
        <w:rPr>
          <w:rFonts w:hint="eastAsia" w:ascii="宋体" w:hAnsi="宋体"/>
          <w:b/>
          <w:bCs/>
          <w:sz w:val="24"/>
        </w:rPr>
        <w:t>1</w:t>
      </w:r>
      <w:r>
        <w:rPr>
          <w:rFonts w:hint="eastAsia" w:ascii="宋体" w:hAnsi="宋体"/>
          <w:b/>
          <w:bCs/>
          <w:sz w:val="24"/>
          <w:lang w:eastAsia="zh-CN"/>
        </w:rPr>
        <w:t>、</w:t>
      </w:r>
      <w:r>
        <w:rPr>
          <w:rFonts w:hint="eastAsia" w:ascii="宋体" w:hAnsi="宋体"/>
          <w:b/>
          <w:bCs/>
          <w:sz w:val="24"/>
          <w:lang w:val="en-US" w:eastAsia="zh-CN"/>
        </w:rPr>
        <w:t>投标资料1</w:t>
      </w:r>
      <w:r>
        <w:rPr>
          <w:rFonts w:hint="eastAsia" w:ascii="宋体" w:hAnsi="宋体"/>
          <w:b/>
          <w:bCs/>
          <w:sz w:val="24"/>
        </w:rPr>
        <w:t>份（</w:t>
      </w:r>
      <w:r>
        <w:rPr>
          <w:rFonts w:hint="eastAsia"/>
          <w:b/>
          <w:bCs/>
          <w:sz w:val="24"/>
          <w:szCs w:val="32"/>
        </w:rPr>
        <w:t>密封加盖单位公章</w:t>
      </w:r>
      <w:r>
        <w:rPr>
          <w:rFonts w:hint="eastAsia" w:ascii="宋体" w:hAnsi="宋体"/>
          <w:b/>
          <w:bCs/>
          <w:sz w:val="24"/>
        </w:rPr>
        <w:t>）</w:t>
      </w:r>
      <w:r>
        <w:rPr>
          <w:rFonts w:hint="eastAsia" w:ascii="宋体" w:hAnsi="宋体"/>
          <w:b/>
          <w:bCs/>
          <w:sz w:val="24"/>
          <w:lang w:val="en-US" w:eastAsia="zh-CN"/>
        </w:rPr>
        <w:t>含以下内容</w:t>
      </w:r>
      <w:r>
        <w:rPr>
          <w:rFonts w:hint="eastAsia" w:ascii="宋体" w:hAnsi="宋体"/>
          <w:b/>
          <w:bCs/>
          <w:sz w:val="24"/>
        </w:rPr>
        <w:t>：</w:t>
      </w:r>
    </w:p>
    <w:p w14:paraId="4408D0DF">
      <w:pPr>
        <w:numPr>
          <w:ilvl w:val="0"/>
          <w:numId w:val="0"/>
        </w:numPr>
        <w:spacing w:line="360" w:lineRule="auto"/>
        <w:rPr>
          <w:rFonts w:hint="eastAsia" w:ascii="宋体" w:hAnsi="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（1）供应商营业执照</w:t>
      </w:r>
      <w:r>
        <w:rPr>
          <w:rFonts w:hint="eastAsia" w:ascii="宋体" w:hAnsi="宋体" w:cs="Times New Roman"/>
          <w:bCs/>
          <w:kern w:val="2"/>
          <w:sz w:val="24"/>
          <w:szCs w:val="24"/>
          <w:lang w:val="en-US" w:eastAsia="zh-CN" w:bidi="ar-SA"/>
        </w:rPr>
        <w:t>。</w:t>
      </w:r>
    </w:p>
    <w:p w14:paraId="36AF358A">
      <w:pPr>
        <w:numPr>
          <w:ilvl w:val="0"/>
          <w:numId w:val="0"/>
        </w:numPr>
        <w:spacing w:line="360" w:lineRule="auto"/>
        <w:rPr>
          <w:rFonts w:hint="default" w:ascii="宋体" w:hAnsi="宋体" w:cs="Times New Roman"/>
          <w:bCs/>
          <w:kern w:val="2"/>
          <w:sz w:val="24"/>
          <w:szCs w:val="24"/>
          <w:lang w:val="en-US" w:eastAsia="zh-CN" w:bidi="ar-SA"/>
        </w:rPr>
      </w:pPr>
      <w:r>
        <w:rPr>
          <w:rFonts w:hint="eastAsia" w:ascii="宋体" w:hAnsi="宋体" w:cs="Times New Roman"/>
          <w:bCs/>
          <w:kern w:val="2"/>
          <w:sz w:val="24"/>
          <w:szCs w:val="24"/>
          <w:lang w:val="en-US" w:eastAsia="zh-CN" w:bidi="ar-SA"/>
        </w:rPr>
        <w:t>（2）</w:t>
      </w:r>
      <w:r>
        <w:rPr>
          <w:rFonts w:hint="eastAsia" w:ascii="宋体" w:hAnsi="宋体" w:cs="Times New Roman"/>
          <w:bCs/>
          <w:sz w:val="24"/>
          <w:highlight w:val="none"/>
          <w:lang w:val="en-US" w:eastAsia="zh-CN"/>
        </w:rPr>
        <w:t>法人身份证复印件（或负责人身份证复印件）。</w:t>
      </w:r>
    </w:p>
    <w:p w14:paraId="5E2FB42E">
      <w:pPr>
        <w:numPr>
          <w:ilvl w:val="0"/>
          <w:numId w:val="0"/>
        </w:numPr>
        <w:spacing w:line="360" w:lineRule="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w:t>
      </w:r>
      <w:r>
        <w:rPr>
          <w:rFonts w:hint="eastAsia" w:ascii="宋体" w:hAnsi="宋体" w:cs="Times New Roman"/>
          <w:bCs/>
          <w:kern w:val="2"/>
          <w:sz w:val="24"/>
          <w:szCs w:val="24"/>
          <w:lang w:val="en-US" w:eastAsia="zh-CN" w:bidi="ar-SA"/>
        </w:rPr>
        <w:t>3</w:t>
      </w:r>
      <w:r>
        <w:rPr>
          <w:rFonts w:hint="eastAsia" w:ascii="宋体" w:hAnsi="宋体" w:eastAsia="宋体" w:cs="Times New Roman"/>
          <w:bCs/>
          <w:kern w:val="2"/>
          <w:sz w:val="24"/>
          <w:szCs w:val="24"/>
          <w:lang w:val="en-US" w:eastAsia="zh-CN" w:bidi="ar-SA"/>
        </w:rPr>
        <w:t>）</w:t>
      </w:r>
      <w:r>
        <w:rPr>
          <w:rFonts w:hint="eastAsia" w:ascii="宋体" w:hAnsi="宋体" w:cs="Times New Roman"/>
          <w:bCs/>
          <w:sz w:val="24"/>
          <w:highlight w:val="none"/>
          <w:lang w:val="en-US" w:eastAsia="zh-CN"/>
        </w:rPr>
        <w:t>经办人身份证复印件和法人（或负责人）授权委托书（若是经办人需提供）。</w:t>
      </w:r>
    </w:p>
    <w:p w14:paraId="48059B5D">
      <w:pPr>
        <w:numPr>
          <w:ilvl w:val="0"/>
          <w:numId w:val="0"/>
        </w:numPr>
        <w:spacing w:line="360" w:lineRule="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w:t>
      </w:r>
      <w:r>
        <w:rPr>
          <w:rFonts w:hint="eastAsia" w:ascii="宋体" w:hAnsi="宋体" w:cs="Times New Roman"/>
          <w:bCs/>
          <w:kern w:val="2"/>
          <w:sz w:val="24"/>
          <w:szCs w:val="24"/>
          <w:lang w:val="en-US" w:eastAsia="zh-CN" w:bidi="ar-SA"/>
        </w:rPr>
        <w:t>4</w:t>
      </w:r>
      <w:r>
        <w:rPr>
          <w:rFonts w:hint="eastAsia" w:ascii="宋体" w:hAnsi="宋体" w:eastAsia="宋体" w:cs="Times New Roman"/>
          <w:bCs/>
          <w:kern w:val="2"/>
          <w:sz w:val="24"/>
          <w:szCs w:val="24"/>
          <w:lang w:val="en-US" w:eastAsia="zh-CN" w:bidi="ar-SA"/>
        </w:rPr>
        <w:t>）投标报价单，本次报价单价包括但不限于保险费、税费、售后等。</w:t>
      </w:r>
    </w:p>
    <w:p w14:paraId="6CBE277A">
      <w:pPr>
        <w:numPr>
          <w:ilvl w:val="0"/>
          <w:numId w:val="0"/>
        </w:numPr>
        <w:spacing w:line="360" w:lineRule="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w:t>
      </w:r>
      <w:r>
        <w:rPr>
          <w:rFonts w:hint="eastAsia" w:ascii="宋体" w:hAnsi="宋体" w:cs="Times New Roman"/>
          <w:bCs/>
          <w:kern w:val="2"/>
          <w:sz w:val="24"/>
          <w:szCs w:val="24"/>
          <w:lang w:val="en-US" w:eastAsia="zh-CN" w:bidi="ar-SA"/>
        </w:rPr>
        <w:t>5</w:t>
      </w:r>
      <w:r>
        <w:rPr>
          <w:rFonts w:hint="eastAsia" w:ascii="宋体" w:hAnsi="宋体" w:eastAsia="宋体" w:cs="Times New Roman"/>
          <w:bCs/>
          <w:kern w:val="2"/>
          <w:sz w:val="24"/>
          <w:szCs w:val="24"/>
          <w:lang w:val="en-US" w:eastAsia="zh-CN" w:bidi="ar-SA"/>
        </w:rPr>
        <w:t>）投标人针对报价需要说明的其他文件和说明（如有）。</w:t>
      </w:r>
    </w:p>
    <w:p w14:paraId="1AAA79D0">
      <w:pPr>
        <w:numPr>
          <w:ilvl w:val="0"/>
          <w:numId w:val="0"/>
        </w:numPr>
        <w:bidi w:val="0"/>
        <w:spacing w:line="360" w:lineRule="auto"/>
        <w:ind w:leftChars="0"/>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注1：以上要求的材料须盖公章，以纸质版的形式提交。</w:t>
      </w:r>
    </w:p>
    <w:p w14:paraId="1A04D9F6">
      <w:pPr>
        <w:numPr>
          <w:ilvl w:val="0"/>
          <w:numId w:val="0"/>
        </w:numPr>
        <w:bidi w:val="0"/>
        <w:spacing w:line="360" w:lineRule="auto"/>
        <w:ind w:leftChars="0"/>
        <w:rPr>
          <w:rFonts w:hint="eastAsia" w:ascii="宋体" w:hAnsi="宋体"/>
          <w:b/>
          <w:bCs w:val="0"/>
          <w:sz w:val="24"/>
        </w:rPr>
      </w:pPr>
      <w:r>
        <w:rPr>
          <w:rFonts w:hint="eastAsia" w:ascii="宋体" w:hAnsi="宋体" w:eastAsia="宋体" w:cs="Times New Roman"/>
          <w:b/>
          <w:bCs w:val="0"/>
          <w:kern w:val="2"/>
          <w:sz w:val="24"/>
          <w:szCs w:val="24"/>
          <w:lang w:val="en-US" w:eastAsia="zh-CN" w:bidi="ar-SA"/>
        </w:rPr>
        <w:t>注2：投标文件的密封和标记：供应商应将投标文件包装密封，在投标文件封面备注项目名称、公司联系人及联系方式。</w:t>
      </w:r>
    </w:p>
    <w:p w14:paraId="3CE85577">
      <w:pPr>
        <w:numPr>
          <w:ilvl w:val="0"/>
          <w:numId w:val="0"/>
        </w:numPr>
        <w:spacing w:line="360" w:lineRule="auto"/>
        <w:rPr>
          <w:rFonts w:hint="eastAsia" w:ascii="宋体" w:hAnsi="宋体" w:eastAsia="宋体" w:cs="Times New Roman"/>
          <w:bCs/>
          <w:kern w:val="2"/>
          <w:sz w:val="24"/>
          <w:szCs w:val="24"/>
          <w:lang w:val="en-US" w:eastAsia="zh-CN" w:bidi="ar-SA"/>
        </w:rPr>
      </w:pPr>
    </w:p>
    <w:p w14:paraId="741AEA76">
      <w:pPr>
        <w:numPr>
          <w:ilvl w:val="-1"/>
          <w:numId w:val="0"/>
        </w:numPr>
        <w:spacing w:before="156" w:beforeLines="50" w:line="360" w:lineRule="auto"/>
        <w:ind w:firstLine="0"/>
        <w:rPr>
          <w:rFonts w:hint="eastAsia" w:ascii="Calibri" w:hAnsi="Calibri"/>
          <w:b/>
          <w:bCs/>
          <w:sz w:val="30"/>
          <w:szCs w:val="30"/>
        </w:rPr>
      </w:pPr>
      <w:r>
        <w:rPr>
          <w:rFonts w:hint="eastAsia"/>
          <w:b/>
          <w:bCs/>
          <w:sz w:val="30"/>
          <w:szCs w:val="30"/>
          <w:lang w:val="en-US" w:eastAsia="zh-CN"/>
        </w:rPr>
        <w:t>二、</w:t>
      </w:r>
      <w:r>
        <w:rPr>
          <w:rFonts w:hint="eastAsia" w:ascii="Calibri" w:hAnsi="Calibri"/>
          <w:b/>
          <w:bCs/>
          <w:sz w:val="30"/>
          <w:szCs w:val="30"/>
        </w:rPr>
        <w:t>评标办法：本项目中标一家，</w:t>
      </w:r>
      <w:r>
        <w:rPr>
          <w:rFonts w:hint="eastAsia" w:ascii="Calibri" w:hAnsi="Calibri"/>
          <w:b/>
          <w:bCs/>
          <w:sz w:val="30"/>
          <w:szCs w:val="30"/>
          <w:lang w:val="en-US" w:eastAsia="zh-CN"/>
        </w:rPr>
        <w:t>低价为</w:t>
      </w:r>
      <w:r>
        <w:rPr>
          <w:rFonts w:hint="eastAsia" w:ascii="Calibri" w:hAnsi="Calibri"/>
          <w:b/>
          <w:bCs/>
          <w:sz w:val="30"/>
          <w:szCs w:val="30"/>
        </w:rPr>
        <w:t>中标供应商。</w:t>
      </w:r>
    </w:p>
    <w:p w14:paraId="000B32C7">
      <w:pPr>
        <w:numPr>
          <w:ilvl w:val="0"/>
          <w:numId w:val="0"/>
        </w:numPr>
        <w:spacing w:line="360" w:lineRule="auto"/>
        <w:rPr>
          <w:rFonts w:hint="eastAsia" w:ascii="宋体" w:hAnsi="宋体"/>
          <w:bCs/>
          <w:sz w:val="24"/>
        </w:rPr>
      </w:pPr>
    </w:p>
    <w:p w14:paraId="175B6B49">
      <w:pPr>
        <w:numPr>
          <w:ilvl w:val="0"/>
          <w:numId w:val="0"/>
        </w:numPr>
        <w:snapToGrid w:val="0"/>
        <w:spacing w:line="360" w:lineRule="auto"/>
        <w:jc w:val="left"/>
        <w:rPr>
          <w:rFonts w:hint="eastAsia" w:eastAsia="宋体"/>
          <w:b/>
          <w:bCs/>
          <w:sz w:val="24"/>
          <w:highlight w:val="none"/>
          <w:lang w:eastAsia="zh-CN"/>
        </w:rPr>
      </w:pPr>
      <w:r>
        <w:rPr>
          <w:rFonts w:hint="eastAsia"/>
          <w:b/>
          <w:bCs/>
          <w:sz w:val="30"/>
          <w:szCs w:val="30"/>
          <w:highlight w:val="none"/>
          <w:lang w:val="en-US" w:eastAsia="zh-CN"/>
        </w:rPr>
        <w:t>三、</w:t>
      </w:r>
      <w:r>
        <w:rPr>
          <w:rFonts w:hint="eastAsia"/>
          <w:b/>
          <w:bCs/>
          <w:sz w:val="30"/>
          <w:szCs w:val="30"/>
          <w:highlight w:val="none"/>
        </w:rPr>
        <w:t>技术</w:t>
      </w:r>
      <w:r>
        <w:rPr>
          <w:rFonts w:hint="eastAsia"/>
          <w:b/>
          <w:bCs/>
          <w:sz w:val="32"/>
          <w:szCs w:val="32"/>
          <w:highlight w:val="none"/>
        </w:rPr>
        <w:t>规格</w:t>
      </w:r>
      <w:r>
        <w:rPr>
          <w:rFonts w:hint="eastAsia"/>
          <w:b/>
          <w:bCs/>
          <w:sz w:val="32"/>
          <w:szCs w:val="32"/>
          <w:highlight w:val="none"/>
          <w:lang w:val="en-US" w:eastAsia="zh-CN"/>
        </w:rPr>
        <w:t>及</w:t>
      </w:r>
      <w:r>
        <w:rPr>
          <w:rFonts w:hint="eastAsia"/>
          <w:b/>
          <w:bCs/>
          <w:sz w:val="32"/>
          <w:szCs w:val="32"/>
          <w:highlight w:val="none"/>
        </w:rPr>
        <w:t>要求</w:t>
      </w:r>
      <w:r>
        <w:rPr>
          <w:rFonts w:hint="eastAsia"/>
          <w:b/>
          <w:bCs/>
          <w:sz w:val="32"/>
          <w:szCs w:val="32"/>
          <w:highlight w:val="none"/>
          <w:lang w:eastAsia="zh-CN"/>
        </w:rPr>
        <w:t>：</w:t>
      </w:r>
    </w:p>
    <w:p w14:paraId="6435A284">
      <w:pPr>
        <w:rPr>
          <w:rFonts w:hint="eastAsia"/>
          <w:b w:val="0"/>
          <w:bCs w:val="0"/>
          <w:sz w:val="24"/>
          <w:highlight w:val="none"/>
          <w:lang w:val="en-US" w:eastAsia="zh-CN"/>
        </w:rPr>
      </w:pPr>
      <w:r>
        <w:rPr>
          <w:rFonts w:hint="eastAsia"/>
          <w:b w:val="0"/>
          <w:bCs w:val="0"/>
          <w:sz w:val="24"/>
          <w:highlight w:val="none"/>
          <w:lang w:val="en-US" w:eastAsia="zh-CN"/>
        </w:rPr>
        <w:t>1、项目地址：</w:t>
      </w:r>
    </w:p>
    <w:p w14:paraId="34C88840">
      <w:pPr>
        <w:numPr>
          <w:ilvl w:val="0"/>
          <w:numId w:val="0"/>
        </w:numPr>
        <w:snapToGrid w:val="0"/>
        <w:spacing w:line="360" w:lineRule="auto"/>
        <w:ind w:leftChars="0"/>
        <w:jc w:val="left"/>
        <w:rPr>
          <w:rFonts w:hint="default" w:cs="Times New Roman"/>
          <w:b w:val="0"/>
          <w:bCs w:val="0"/>
          <w:sz w:val="24"/>
          <w:highlight w:val="none"/>
          <w:lang w:val="en-US" w:eastAsia="zh-CN"/>
        </w:rPr>
      </w:pPr>
      <w:r>
        <w:rPr>
          <w:rFonts w:hint="eastAsia" w:cs="Times New Roman"/>
          <w:b w:val="0"/>
          <w:bCs w:val="0"/>
          <w:sz w:val="24"/>
          <w:highlight w:val="none"/>
          <w:lang w:val="en-US" w:eastAsia="zh-CN"/>
        </w:rPr>
        <w:t>（1）鹿城院区（学院路部、南浦部、原急救中心11幢）</w:t>
      </w:r>
    </w:p>
    <w:p w14:paraId="0A35828D">
      <w:pPr>
        <w:numPr>
          <w:ilvl w:val="0"/>
          <w:numId w:val="0"/>
        </w:numPr>
        <w:snapToGrid w:val="0"/>
        <w:spacing w:line="360" w:lineRule="auto"/>
        <w:ind w:leftChars="0"/>
        <w:jc w:val="left"/>
        <w:rPr>
          <w:rFonts w:hint="eastAsia" w:cs="Times New Roman"/>
          <w:b w:val="0"/>
          <w:bCs w:val="0"/>
          <w:sz w:val="24"/>
          <w:highlight w:val="none"/>
          <w:lang w:val="en-US" w:eastAsia="zh-CN"/>
        </w:rPr>
      </w:pPr>
      <w:r>
        <w:rPr>
          <w:rFonts w:hint="eastAsia" w:cs="Times New Roman"/>
          <w:b w:val="0"/>
          <w:bCs w:val="0"/>
          <w:sz w:val="24"/>
          <w:highlight w:val="none"/>
          <w:lang w:val="en-US" w:eastAsia="zh-CN"/>
        </w:rPr>
        <w:t>学院路部：温州市鹿城区学院西路109号</w:t>
      </w:r>
    </w:p>
    <w:p w14:paraId="2BC7E7D8">
      <w:pPr>
        <w:numPr>
          <w:ilvl w:val="0"/>
          <w:numId w:val="0"/>
        </w:numPr>
        <w:snapToGrid w:val="0"/>
        <w:spacing w:line="360" w:lineRule="auto"/>
        <w:ind w:leftChars="0"/>
        <w:jc w:val="left"/>
        <w:rPr>
          <w:rFonts w:hint="eastAsia" w:cs="Times New Roman"/>
          <w:b w:val="0"/>
          <w:bCs w:val="0"/>
          <w:sz w:val="24"/>
          <w:highlight w:val="none"/>
          <w:lang w:val="en-US" w:eastAsia="zh-CN"/>
        </w:rPr>
      </w:pPr>
      <w:r>
        <w:rPr>
          <w:rFonts w:hint="eastAsia" w:cs="Times New Roman"/>
          <w:b w:val="0"/>
          <w:bCs w:val="0"/>
          <w:sz w:val="24"/>
          <w:highlight w:val="none"/>
          <w:lang w:val="en-US" w:eastAsia="zh-CN"/>
        </w:rPr>
        <w:t>南浦部：温州市鹿城区划龙桥路306号</w:t>
      </w:r>
    </w:p>
    <w:p w14:paraId="7A7D4AFB">
      <w:pPr>
        <w:numPr>
          <w:ilvl w:val="0"/>
          <w:numId w:val="0"/>
        </w:numPr>
        <w:snapToGrid w:val="0"/>
        <w:spacing w:line="360" w:lineRule="auto"/>
        <w:ind w:leftChars="0"/>
        <w:jc w:val="left"/>
        <w:rPr>
          <w:rFonts w:hint="eastAsia" w:cs="Times New Roman"/>
          <w:b w:val="0"/>
          <w:bCs w:val="0"/>
          <w:sz w:val="24"/>
          <w:highlight w:val="none"/>
          <w:lang w:val="en-US" w:eastAsia="zh-CN"/>
        </w:rPr>
      </w:pPr>
      <w:r>
        <w:rPr>
          <w:rFonts w:hint="eastAsia" w:cs="Times New Roman"/>
          <w:b w:val="0"/>
          <w:bCs w:val="0"/>
          <w:sz w:val="24"/>
          <w:highlight w:val="none"/>
          <w:lang w:val="en-US" w:eastAsia="zh-CN"/>
        </w:rPr>
        <w:t>原急救中心11幢：温州市鹿城区学院西路268号</w:t>
      </w:r>
    </w:p>
    <w:p w14:paraId="7B1601FE">
      <w:pPr>
        <w:numPr>
          <w:ilvl w:val="0"/>
          <w:numId w:val="0"/>
        </w:numPr>
        <w:snapToGrid w:val="0"/>
        <w:spacing w:line="360" w:lineRule="auto"/>
        <w:ind w:leftChars="0"/>
        <w:jc w:val="left"/>
        <w:rPr>
          <w:rFonts w:hint="eastAsia" w:cs="Times New Roman"/>
          <w:b w:val="0"/>
          <w:bCs w:val="0"/>
          <w:sz w:val="24"/>
          <w:highlight w:val="none"/>
          <w:lang w:val="en-US" w:eastAsia="zh-CN"/>
        </w:rPr>
      </w:pPr>
      <w:r>
        <w:rPr>
          <w:rFonts w:hint="eastAsia" w:cs="Times New Roman"/>
          <w:b w:val="0"/>
          <w:bCs w:val="0"/>
          <w:sz w:val="24"/>
          <w:highlight w:val="none"/>
          <w:lang w:val="en-US" w:eastAsia="zh-CN"/>
        </w:rPr>
        <w:t>（2）龙湾院区：温州市龙湾院区温州大道东段1111号</w:t>
      </w:r>
    </w:p>
    <w:p w14:paraId="4D35281F">
      <w:pPr>
        <w:numPr>
          <w:ilvl w:val="0"/>
          <w:numId w:val="0"/>
        </w:numPr>
        <w:snapToGrid w:val="0"/>
        <w:spacing w:line="360" w:lineRule="auto"/>
        <w:ind w:leftChars="0"/>
        <w:jc w:val="left"/>
        <w:rPr>
          <w:rFonts w:hint="default" w:cs="Times New Roman"/>
          <w:b w:val="0"/>
          <w:bCs w:val="0"/>
          <w:sz w:val="24"/>
          <w:highlight w:val="none"/>
          <w:lang w:val="en-US" w:eastAsia="zh-CN"/>
        </w:rPr>
      </w:pPr>
      <w:r>
        <w:rPr>
          <w:rFonts w:hint="eastAsia" w:cs="Times New Roman"/>
          <w:b w:val="0"/>
          <w:bCs w:val="0"/>
          <w:sz w:val="24"/>
          <w:highlight w:val="none"/>
          <w:lang w:val="en-US" w:eastAsia="zh-CN"/>
        </w:rPr>
        <w:t>龙湾康复中心：温州市龙湾区温州大道东段188号</w:t>
      </w:r>
    </w:p>
    <w:p w14:paraId="2458A1EB">
      <w:pPr>
        <w:numPr>
          <w:ilvl w:val="0"/>
          <w:numId w:val="0"/>
        </w:numPr>
        <w:snapToGrid w:val="0"/>
        <w:spacing w:line="360" w:lineRule="auto"/>
        <w:ind w:leftChars="0"/>
        <w:jc w:val="left"/>
        <w:rPr>
          <w:rFonts w:hint="default"/>
          <w:b w:val="0"/>
          <w:bCs w:val="0"/>
          <w:sz w:val="24"/>
          <w:highlight w:val="none"/>
          <w:lang w:val="en-US" w:eastAsia="zh-CN"/>
        </w:rPr>
      </w:pPr>
      <w:r>
        <w:rPr>
          <w:rFonts w:hint="eastAsia" w:cs="Times New Roman"/>
          <w:b w:val="0"/>
          <w:bCs w:val="0"/>
          <w:sz w:val="24"/>
          <w:highlight w:val="none"/>
          <w:lang w:val="en-US" w:eastAsia="zh-CN"/>
        </w:rPr>
        <w:t>（3）瓯江口院区：温州市瓯江口新区瓯石路666号</w:t>
      </w:r>
    </w:p>
    <w:p w14:paraId="4D5C21AB">
      <w:pPr>
        <w:numPr>
          <w:ilvl w:val="0"/>
          <w:numId w:val="0"/>
        </w:numPr>
        <w:snapToGrid w:val="0"/>
        <w:spacing w:line="360" w:lineRule="auto"/>
        <w:ind w:leftChars="0"/>
        <w:jc w:val="left"/>
        <w:rPr>
          <w:rFonts w:hint="default"/>
          <w:b w:val="0"/>
          <w:bCs w:val="0"/>
          <w:sz w:val="24"/>
          <w:highlight w:val="none"/>
          <w:lang w:val="en-US" w:eastAsia="zh-CN"/>
        </w:rPr>
      </w:pPr>
      <w:r>
        <w:rPr>
          <w:rFonts w:hint="eastAsia"/>
          <w:b w:val="0"/>
          <w:bCs w:val="0"/>
          <w:sz w:val="24"/>
          <w:highlight w:val="none"/>
          <w:lang w:val="en-US" w:eastAsia="zh-CN"/>
        </w:rPr>
        <w:t>2、项目具体需求：</w:t>
      </w:r>
    </w:p>
    <w:p w14:paraId="085551E1">
      <w:pPr>
        <w:numPr>
          <w:ilvl w:val="0"/>
          <w:numId w:val="1"/>
        </w:numPr>
        <w:snapToGrid w:val="0"/>
        <w:spacing w:line="360" w:lineRule="auto"/>
        <w:ind w:leftChars="0"/>
        <w:jc w:val="left"/>
        <w:rPr>
          <w:rFonts w:hint="eastAsia"/>
          <w:b w:val="0"/>
          <w:bCs w:val="0"/>
          <w:sz w:val="24"/>
          <w:highlight w:val="none"/>
          <w:lang w:val="en-US" w:eastAsia="zh-CN"/>
        </w:rPr>
      </w:pPr>
      <w:r>
        <w:rPr>
          <w:rFonts w:hint="eastAsia"/>
          <w:b w:val="0"/>
          <w:bCs w:val="0"/>
          <w:sz w:val="24"/>
          <w:highlight w:val="none"/>
          <w:lang w:val="en-US" w:eastAsia="zh-CN"/>
        </w:rPr>
        <w:t>保险方案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1557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099A2E2E">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电梯保险方案</w:t>
            </w:r>
          </w:p>
        </w:tc>
      </w:tr>
      <w:tr w14:paraId="0E39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C56E662">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累计赔偿限额（万元/每台，下同）</w:t>
            </w:r>
          </w:p>
        </w:tc>
        <w:tc>
          <w:tcPr>
            <w:tcW w:w="4261" w:type="dxa"/>
            <w:noWrap w:val="0"/>
            <w:vAlign w:val="top"/>
          </w:tcPr>
          <w:p w14:paraId="68304549">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人民币500万元</w:t>
            </w:r>
          </w:p>
        </w:tc>
      </w:tr>
      <w:tr w14:paraId="7630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2B0ED2FA">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每次事故赔偿限额</w:t>
            </w:r>
          </w:p>
        </w:tc>
        <w:tc>
          <w:tcPr>
            <w:tcW w:w="4261" w:type="dxa"/>
            <w:noWrap w:val="0"/>
            <w:vAlign w:val="top"/>
          </w:tcPr>
          <w:p w14:paraId="6D7CF5BD">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人民币300万元</w:t>
            </w:r>
          </w:p>
        </w:tc>
      </w:tr>
      <w:tr w14:paraId="331A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9535C7E">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每次每人死亡伤残赔偿限额</w:t>
            </w:r>
          </w:p>
        </w:tc>
        <w:tc>
          <w:tcPr>
            <w:tcW w:w="4261" w:type="dxa"/>
            <w:noWrap w:val="0"/>
            <w:vAlign w:val="top"/>
          </w:tcPr>
          <w:p w14:paraId="3298B5E3">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人民币100万元</w:t>
            </w:r>
          </w:p>
        </w:tc>
      </w:tr>
      <w:tr w14:paraId="42BC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20A5BE31">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每次事故每人医疗费用赔偿限额</w:t>
            </w:r>
          </w:p>
        </w:tc>
        <w:tc>
          <w:tcPr>
            <w:tcW w:w="4261" w:type="dxa"/>
            <w:noWrap w:val="0"/>
            <w:vAlign w:val="top"/>
          </w:tcPr>
          <w:p w14:paraId="341A9259">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人民币40万元</w:t>
            </w:r>
          </w:p>
        </w:tc>
      </w:tr>
      <w:tr w14:paraId="624C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0043DA1">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每次事故财产损失赔偿限额</w:t>
            </w:r>
          </w:p>
        </w:tc>
        <w:tc>
          <w:tcPr>
            <w:tcW w:w="4261" w:type="dxa"/>
            <w:noWrap w:val="0"/>
            <w:vAlign w:val="top"/>
          </w:tcPr>
          <w:p w14:paraId="7F51DD95">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人民币20万元</w:t>
            </w:r>
          </w:p>
        </w:tc>
      </w:tr>
      <w:tr w14:paraId="58FD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CB462D5">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每次事故法律费用赔偿限额</w:t>
            </w:r>
          </w:p>
        </w:tc>
        <w:tc>
          <w:tcPr>
            <w:tcW w:w="4261" w:type="dxa"/>
            <w:noWrap w:val="0"/>
            <w:vAlign w:val="top"/>
          </w:tcPr>
          <w:p w14:paraId="796940E3">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人民币20万元</w:t>
            </w:r>
          </w:p>
        </w:tc>
      </w:tr>
      <w:tr w14:paraId="39F7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1063668C">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免赔额：每次事故损失绝对免赔额度为人民币500元或5%，两者以高者为准。</w:t>
            </w:r>
          </w:p>
        </w:tc>
      </w:tr>
    </w:tbl>
    <w:p w14:paraId="4CBC6DC6">
      <w:pPr>
        <w:numPr>
          <w:ilvl w:val="0"/>
          <w:numId w:val="0"/>
        </w:numPr>
        <w:snapToGrid w:val="0"/>
        <w:spacing w:line="360" w:lineRule="auto"/>
        <w:ind w:leftChars="0"/>
        <w:jc w:val="left"/>
        <w:rPr>
          <w:rFonts w:hint="default"/>
          <w:b w:val="0"/>
          <w:bCs w:val="0"/>
          <w:sz w:val="24"/>
          <w:highlight w:val="none"/>
          <w:lang w:val="en-US" w:eastAsia="zh-CN"/>
        </w:rPr>
      </w:pPr>
      <w:r>
        <w:rPr>
          <w:rFonts w:hint="eastAsia" w:cs="Times New Roman"/>
          <w:b w:val="0"/>
          <w:bCs w:val="0"/>
          <w:sz w:val="24"/>
          <w:highlight w:val="none"/>
          <w:lang w:val="en-US" w:eastAsia="zh-CN"/>
        </w:rPr>
        <w:t>电梯保险方案仅针对鹿城院区（学院路部、南浦部、原急救中心11幢）、瓯江口院区、龙湾院区含龙湾（康复中心）</w:t>
      </w:r>
    </w:p>
    <w:p w14:paraId="1CE37769">
      <w:pPr>
        <w:numPr>
          <w:ilvl w:val="0"/>
          <w:numId w:val="0"/>
        </w:numPr>
        <w:snapToGrid w:val="0"/>
        <w:spacing w:line="360" w:lineRule="auto"/>
        <w:ind w:leftChars="0"/>
        <w:jc w:val="left"/>
        <w:rPr>
          <w:rFonts w:hint="eastAsia"/>
          <w:b w:val="0"/>
          <w:bCs w:val="0"/>
          <w:sz w:val="24"/>
          <w:highlight w:val="none"/>
          <w:lang w:val="en-US" w:eastAsia="zh-CN"/>
        </w:rPr>
      </w:pPr>
      <w:r>
        <w:rPr>
          <w:rFonts w:hint="eastAsia"/>
          <w:b w:val="0"/>
          <w:bCs w:val="0"/>
          <w:sz w:val="24"/>
          <w:highlight w:val="none"/>
          <w:lang w:val="en-US" w:eastAsia="zh-CN"/>
        </w:rPr>
        <w:t>（2）保险期限：一年。</w:t>
      </w:r>
    </w:p>
    <w:p w14:paraId="4F6D7852">
      <w:pPr>
        <w:numPr>
          <w:ilvl w:val="0"/>
          <w:numId w:val="0"/>
        </w:numPr>
        <w:snapToGrid w:val="0"/>
        <w:spacing w:line="360" w:lineRule="auto"/>
        <w:ind w:leftChars="0"/>
        <w:jc w:val="left"/>
        <w:rPr>
          <w:rFonts w:hint="eastAsia"/>
          <w:b w:val="0"/>
          <w:bCs w:val="0"/>
          <w:sz w:val="24"/>
          <w:highlight w:val="none"/>
          <w:lang w:val="en-US" w:eastAsia="zh-CN"/>
        </w:rPr>
      </w:pPr>
      <w:r>
        <w:rPr>
          <w:rFonts w:hint="eastAsia"/>
          <w:b w:val="0"/>
          <w:bCs w:val="0"/>
          <w:sz w:val="24"/>
          <w:highlight w:val="none"/>
          <w:lang w:val="en-US" w:eastAsia="zh-CN"/>
        </w:rPr>
        <w:t>（3）电梯数量：</w:t>
      </w:r>
    </w:p>
    <w:tbl>
      <w:tblPr>
        <w:tblStyle w:val="5"/>
        <w:tblW w:w="88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2139"/>
        <w:gridCol w:w="2400"/>
      </w:tblGrid>
      <w:tr w14:paraId="6853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261" w:type="dxa"/>
            <w:noWrap w:val="0"/>
            <w:vAlign w:val="center"/>
          </w:tcPr>
          <w:p w14:paraId="2A5F1F97">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院区</w:t>
            </w:r>
          </w:p>
        </w:tc>
        <w:tc>
          <w:tcPr>
            <w:tcW w:w="2139" w:type="dxa"/>
            <w:noWrap w:val="0"/>
            <w:vAlign w:val="center"/>
          </w:tcPr>
          <w:p w14:paraId="489E8FD2">
            <w:pPr>
              <w:numPr>
                <w:ilvl w:val="0"/>
                <w:numId w:val="0"/>
              </w:numPr>
              <w:snapToGrid w:val="0"/>
              <w:spacing w:line="360" w:lineRule="auto"/>
              <w:ind w:leftChars="0"/>
              <w:jc w:val="center"/>
              <w:rPr>
                <w:rFonts w:hint="default" w:cs="Times New Roman"/>
                <w:b w:val="0"/>
                <w:bCs w:val="0"/>
                <w:sz w:val="24"/>
                <w:highlight w:val="none"/>
                <w:lang w:val="en-US" w:eastAsia="zh-CN"/>
              </w:rPr>
            </w:pPr>
            <w:r>
              <w:rPr>
                <w:rFonts w:hint="eastAsia" w:cs="Times New Roman"/>
                <w:b w:val="0"/>
                <w:bCs w:val="0"/>
                <w:sz w:val="24"/>
                <w:highlight w:val="none"/>
                <w:lang w:val="en-US" w:eastAsia="zh-CN"/>
              </w:rPr>
              <w:t>扶梯数量（台）</w:t>
            </w:r>
          </w:p>
        </w:tc>
        <w:tc>
          <w:tcPr>
            <w:tcW w:w="2400" w:type="dxa"/>
            <w:noWrap w:val="0"/>
            <w:vAlign w:val="center"/>
          </w:tcPr>
          <w:p w14:paraId="4351127F">
            <w:pPr>
              <w:numPr>
                <w:ilvl w:val="0"/>
                <w:numId w:val="0"/>
              </w:numPr>
              <w:snapToGrid w:val="0"/>
              <w:spacing w:line="360" w:lineRule="auto"/>
              <w:ind w:leftChars="0"/>
              <w:jc w:val="center"/>
              <w:rPr>
                <w:rFonts w:hint="default" w:cs="Times New Roman"/>
                <w:b w:val="0"/>
                <w:bCs w:val="0"/>
                <w:sz w:val="24"/>
                <w:highlight w:val="none"/>
                <w:lang w:val="en-US" w:eastAsia="zh-CN"/>
              </w:rPr>
            </w:pPr>
            <w:r>
              <w:rPr>
                <w:rFonts w:hint="eastAsia" w:cs="Times New Roman"/>
                <w:b w:val="0"/>
                <w:bCs w:val="0"/>
                <w:sz w:val="24"/>
                <w:highlight w:val="none"/>
                <w:lang w:val="en-US" w:eastAsia="zh-CN"/>
              </w:rPr>
              <w:t>直梯数量（台）</w:t>
            </w:r>
          </w:p>
        </w:tc>
      </w:tr>
      <w:tr w14:paraId="3D0E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right"/>
        </w:trPr>
        <w:tc>
          <w:tcPr>
            <w:tcW w:w="4261" w:type="dxa"/>
            <w:noWrap w:val="0"/>
            <w:vAlign w:val="center"/>
          </w:tcPr>
          <w:p w14:paraId="2BB97DDD">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鹿城院区（学院路部、南浦部、原急救中心11幢）</w:t>
            </w:r>
          </w:p>
        </w:tc>
        <w:tc>
          <w:tcPr>
            <w:tcW w:w="2139" w:type="dxa"/>
            <w:noWrap w:val="0"/>
            <w:vAlign w:val="center"/>
          </w:tcPr>
          <w:p w14:paraId="18BF0B45">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6</w:t>
            </w:r>
          </w:p>
        </w:tc>
        <w:tc>
          <w:tcPr>
            <w:tcW w:w="2400" w:type="dxa"/>
            <w:noWrap w:val="0"/>
            <w:vAlign w:val="center"/>
          </w:tcPr>
          <w:p w14:paraId="5CE2609D">
            <w:pPr>
              <w:numPr>
                <w:ilvl w:val="0"/>
                <w:numId w:val="0"/>
              </w:numPr>
              <w:snapToGrid w:val="0"/>
              <w:spacing w:line="360" w:lineRule="auto"/>
              <w:ind w:leftChars="0"/>
              <w:jc w:val="center"/>
              <w:rPr>
                <w:rFonts w:hint="default" w:cs="Times New Roman"/>
                <w:b w:val="0"/>
                <w:bCs w:val="0"/>
                <w:sz w:val="24"/>
                <w:highlight w:val="none"/>
                <w:lang w:val="en-US" w:eastAsia="zh-CN"/>
              </w:rPr>
            </w:pPr>
            <w:r>
              <w:rPr>
                <w:rFonts w:hint="eastAsia" w:cs="Times New Roman"/>
                <w:b w:val="0"/>
                <w:bCs w:val="0"/>
                <w:sz w:val="24"/>
                <w:highlight w:val="none"/>
                <w:lang w:val="en-US" w:eastAsia="zh-CN"/>
              </w:rPr>
              <w:t>50</w:t>
            </w:r>
          </w:p>
        </w:tc>
      </w:tr>
      <w:tr w14:paraId="1263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261" w:type="dxa"/>
            <w:noWrap w:val="0"/>
            <w:vAlign w:val="center"/>
          </w:tcPr>
          <w:p w14:paraId="017317D5">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龙湾院区（含龙湾康复中心）</w:t>
            </w:r>
          </w:p>
        </w:tc>
        <w:tc>
          <w:tcPr>
            <w:tcW w:w="2139" w:type="dxa"/>
            <w:noWrap w:val="0"/>
            <w:vAlign w:val="center"/>
          </w:tcPr>
          <w:p w14:paraId="0387956F">
            <w:pPr>
              <w:numPr>
                <w:ilvl w:val="0"/>
                <w:numId w:val="0"/>
              </w:numPr>
              <w:snapToGrid w:val="0"/>
              <w:spacing w:line="360" w:lineRule="auto"/>
              <w:ind w:leftChars="0"/>
              <w:jc w:val="center"/>
              <w:rPr>
                <w:rFonts w:hint="default" w:cs="Times New Roman"/>
                <w:b w:val="0"/>
                <w:bCs w:val="0"/>
                <w:sz w:val="24"/>
                <w:highlight w:val="none"/>
                <w:lang w:val="en-US" w:eastAsia="zh-CN"/>
              </w:rPr>
            </w:pPr>
            <w:r>
              <w:rPr>
                <w:rFonts w:hint="eastAsia" w:cs="Times New Roman"/>
                <w:b w:val="0"/>
                <w:bCs w:val="0"/>
                <w:sz w:val="24"/>
                <w:highlight w:val="none"/>
                <w:lang w:val="en-US" w:eastAsia="zh-CN"/>
              </w:rPr>
              <w:t>10</w:t>
            </w:r>
          </w:p>
        </w:tc>
        <w:tc>
          <w:tcPr>
            <w:tcW w:w="2400" w:type="dxa"/>
            <w:noWrap w:val="0"/>
            <w:vAlign w:val="center"/>
          </w:tcPr>
          <w:p w14:paraId="408442C1">
            <w:pPr>
              <w:numPr>
                <w:ilvl w:val="0"/>
                <w:numId w:val="0"/>
              </w:numPr>
              <w:snapToGrid w:val="0"/>
              <w:spacing w:line="360" w:lineRule="auto"/>
              <w:ind w:leftChars="0"/>
              <w:jc w:val="center"/>
              <w:rPr>
                <w:rFonts w:hint="default" w:cs="Times New Roman"/>
                <w:b w:val="0"/>
                <w:bCs w:val="0"/>
                <w:sz w:val="24"/>
                <w:highlight w:val="none"/>
                <w:lang w:val="en-US" w:eastAsia="zh-CN"/>
              </w:rPr>
            </w:pPr>
            <w:r>
              <w:rPr>
                <w:rFonts w:hint="eastAsia" w:cs="Times New Roman"/>
                <w:b w:val="0"/>
                <w:bCs w:val="0"/>
                <w:sz w:val="24"/>
                <w:highlight w:val="none"/>
                <w:lang w:val="en-US" w:eastAsia="zh-CN"/>
              </w:rPr>
              <w:t>56</w:t>
            </w:r>
          </w:p>
        </w:tc>
      </w:tr>
      <w:tr w14:paraId="536C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261" w:type="dxa"/>
            <w:noWrap w:val="0"/>
            <w:vAlign w:val="center"/>
          </w:tcPr>
          <w:p w14:paraId="701CD686">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瓯江口院区</w:t>
            </w:r>
          </w:p>
        </w:tc>
        <w:tc>
          <w:tcPr>
            <w:tcW w:w="2139" w:type="dxa"/>
            <w:noWrap w:val="0"/>
            <w:vAlign w:val="center"/>
          </w:tcPr>
          <w:p w14:paraId="7321A5DE">
            <w:pPr>
              <w:numPr>
                <w:ilvl w:val="0"/>
                <w:numId w:val="0"/>
              </w:numPr>
              <w:snapToGrid w:val="0"/>
              <w:spacing w:line="360" w:lineRule="auto"/>
              <w:ind w:leftChars="0"/>
              <w:jc w:val="center"/>
              <w:rPr>
                <w:rFonts w:hint="eastAsia" w:cs="Times New Roman"/>
                <w:b w:val="0"/>
                <w:bCs w:val="0"/>
                <w:sz w:val="24"/>
                <w:highlight w:val="none"/>
                <w:lang w:val="en-US" w:eastAsia="zh-CN"/>
              </w:rPr>
            </w:pPr>
            <w:r>
              <w:rPr>
                <w:rFonts w:hint="eastAsia" w:cs="Times New Roman"/>
                <w:b w:val="0"/>
                <w:bCs w:val="0"/>
                <w:sz w:val="24"/>
                <w:highlight w:val="none"/>
                <w:lang w:val="en-US" w:eastAsia="zh-CN"/>
              </w:rPr>
              <w:t>6</w:t>
            </w:r>
          </w:p>
        </w:tc>
        <w:tc>
          <w:tcPr>
            <w:tcW w:w="2400" w:type="dxa"/>
            <w:noWrap w:val="0"/>
            <w:vAlign w:val="center"/>
          </w:tcPr>
          <w:p w14:paraId="4383D8D2">
            <w:pPr>
              <w:numPr>
                <w:ilvl w:val="0"/>
                <w:numId w:val="0"/>
              </w:numPr>
              <w:snapToGrid w:val="0"/>
              <w:spacing w:line="360" w:lineRule="auto"/>
              <w:ind w:leftChars="0"/>
              <w:jc w:val="center"/>
              <w:rPr>
                <w:rFonts w:hint="default" w:cs="Times New Roman"/>
                <w:b w:val="0"/>
                <w:bCs w:val="0"/>
                <w:sz w:val="24"/>
                <w:highlight w:val="none"/>
                <w:lang w:val="en-US" w:eastAsia="zh-CN"/>
              </w:rPr>
            </w:pPr>
            <w:r>
              <w:rPr>
                <w:rFonts w:hint="eastAsia" w:cs="Times New Roman"/>
                <w:b w:val="0"/>
                <w:bCs w:val="0"/>
                <w:sz w:val="24"/>
                <w:highlight w:val="none"/>
                <w:lang w:val="en-US" w:eastAsia="zh-CN"/>
              </w:rPr>
              <w:t>30</w:t>
            </w:r>
          </w:p>
        </w:tc>
      </w:tr>
      <w:tr w14:paraId="6F25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261" w:type="dxa"/>
            <w:noWrap w:val="0"/>
            <w:vAlign w:val="center"/>
          </w:tcPr>
          <w:p w14:paraId="0C665CF2">
            <w:pPr>
              <w:numPr>
                <w:ilvl w:val="0"/>
                <w:numId w:val="0"/>
              </w:numPr>
              <w:snapToGrid w:val="0"/>
              <w:spacing w:line="360" w:lineRule="auto"/>
              <w:ind w:leftChars="0"/>
              <w:jc w:val="center"/>
              <w:rPr>
                <w:rFonts w:hint="default" w:cs="Times New Roman"/>
                <w:b w:val="0"/>
                <w:bCs w:val="0"/>
                <w:sz w:val="24"/>
                <w:highlight w:val="none"/>
                <w:lang w:val="en-US" w:eastAsia="zh-CN"/>
              </w:rPr>
            </w:pPr>
            <w:r>
              <w:rPr>
                <w:rFonts w:hint="eastAsia" w:cs="Times New Roman"/>
                <w:b w:val="0"/>
                <w:bCs w:val="0"/>
                <w:sz w:val="24"/>
                <w:highlight w:val="none"/>
                <w:lang w:val="en-US" w:eastAsia="zh-CN"/>
              </w:rPr>
              <w:t>合计</w:t>
            </w:r>
          </w:p>
        </w:tc>
        <w:tc>
          <w:tcPr>
            <w:tcW w:w="2139" w:type="dxa"/>
            <w:noWrap w:val="0"/>
            <w:vAlign w:val="center"/>
          </w:tcPr>
          <w:p w14:paraId="33C3E045">
            <w:pPr>
              <w:numPr>
                <w:ilvl w:val="0"/>
                <w:numId w:val="0"/>
              </w:numPr>
              <w:snapToGrid w:val="0"/>
              <w:spacing w:line="360" w:lineRule="auto"/>
              <w:ind w:leftChars="0"/>
              <w:jc w:val="center"/>
              <w:rPr>
                <w:rFonts w:hint="default" w:cs="Times New Roman"/>
                <w:b w:val="0"/>
                <w:bCs w:val="0"/>
                <w:sz w:val="24"/>
                <w:highlight w:val="none"/>
                <w:lang w:val="en-US" w:eastAsia="zh-CN"/>
              </w:rPr>
            </w:pPr>
            <w:r>
              <w:rPr>
                <w:rFonts w:hint="eastAsia" w:cs="Times New Roman"/>
                <w:b w:val="0"/>
                <w:bCs w:val="0"/>
                <w:sz w:val="24"/>
                <w:highlight w:val="none"/>
                <w:lang w:val="en-US" w:eastAsia="zh-CN"/>
              </w:rPr>
              <w:t>22</w:t>
            </w:r>
          </w:p>
        </w:tc>
        <w:tc>
          <w:tcPr>
            <w:tcW w:w="2400" w:type="dxa"/>
            <w:noWrap w:val="0"/>
            <w:vAlign w:val="center"/>
          </w:tcPr>
          <w:p w14:paraId="0EBBC2D6">
            <w:pPr>
              <w:numPr>
                <w:ilvl w:val="0"/>
                <w:numId w:val="0"/>
              </w:numPr>
              <w:snapToGrid w:val="0"/>
              <w:spacing w:line="360" w:lineRule="auto"/>
              <w:ind w:leftChars="0"/>
              <w:jc w:val="center"/>
              <w:rPr>
                <w:rFonts w:hint="default" w:cs="Times New Roman"/>
                <w:b w:val="0"/>
                <w:bCs w:val="0"/>
                <w:sz w:val="24"/>
                <w:highlight w:val="none"/>
                <w:lang w:val="en-US" w:eastAsia="zh-CN"/>
              </w:rPr>
            </w:pPr>
            <w:r>
              <w:rPr>
                <w:rFonts w:hint="eastAsia" w:cs="Times New Roman"/>
                <w:b w:val="0"/>
                <w:bCs w:val="0"/>
                <w:sz w:val="24"/>
                <w:highlight w:val="none"/>
                <w:lang w:val="en-US" w:eastAsia="zh-CN"/>
              </w:rPr>
              <w:t>136</w:t>
            </w:r>
          </w:p>
        </w:tc>
      </w:tr>
    </w:tbl>
    <w:p w14:paraId="6F0DB9F0">
      <w:pPr>
        <w:numPr>
          <w:ilvl w:val="0"/>
          <w:numId w:val="0"/>
        </w:numPr>
        <w:snapToGrid w:val="0"/>
        <w:spacing w:line="360" w:lineRule="auto"/>
        <w:ind w:leftChars="0"/>
        <w:jc w:val="left"/>
        <w:rPr>
          <w:rFonts w:hint="default" w:eastAsia="宋体" w:cs="Times New Roman"/>
          <w:b w:val="0"/>
          <w:bCs w:val="0"/>
          <w:sz w:val="24"/>
          <w:highlight w:val="none"/>
          <w:lang w:val="en-US" w:eastAsia="zh-CN"/>
        </w:rPr>
      </w:pPr>
      <w:r>
        <w:rPr>
          <w:rFonts w:hint="eastAsia"/>
          <w:b w:val="0"/>
          <w:bCs w:val="0"/>
          <w:sz w:val="24"/>
          <w:highlight w:val="none"/>
          <w:lang w:val="en-US" w:eastAsia="zh-CN"/>
        </w:rPr>
        <w:t>具体电梯清单参考附件。</w:t>
      </w:r>
      <w:r>
        <w:rPr>
          <w:rFonts w:hint="eastAsia"/>
          <w:b w:val="0"/>
          <w:bCs w:val="0"/>
          <w:sz w:val="24"/>
          <w:highlight w:val="none"/>
          <w:lang w:val="en-US" w:eastAsia="zh-CN"/>
        </w:rPr>
        <w:br w:type="textWrapping"/>
      </w:r>
      <w:r>
        <w:rPr>
          <w:rFonts w:hint="eastAsia" w:eastAsia="宋体" w:cs="Times New Roman"/>
          <w:b w:val="0"/>
          <w:bCs w:val="0"/>
          <w:sz w:val="24"/>
          <w:highlight w:val="none"/>
          <w:lang w:val="en-US" w:eastAsia="zh-CN"/>
        </w:rPr>
        <w:t>（4）电梯保险单价限价：</w:t>
      </w:r>
      <w:r>
        <w:rPr>
          <w:rFonts w:hint="eastAsia" w:cs="Times New Roman"/>
          <w:b w:val="0"/>
          <w:bCs w:val="0"/>
          <w:sz w:val="24"/>
          <w:highlight w:val="none"/>
          <w:lang w:val="en-US" w:eastAsia="zh-CN"/>
        </w:rPr>
        <w:t>120</w:t>
      </w:r>
      <w:r>
        <w:rPr>
          <w:rFonts w:hint="eastAsia" w:eastAsia="宋体" w:cs="Times New Roman"/>
          <w:b w:val="0"/>
          <w:bCs w:val="0"/>
          <w:sz w:val="24"/>
          <w:highlight w:val="none"/>
          <w:lang w:val="en-US" w:eastAsia="zh-CN"/>
        </w:rPr>
        <w:t>元/台/年</w:t>
      </w:r>
    </w:p>
    <w:p w14:paraId="37C0F144">
      <w:pPr>
        <w:numPr>
          <w:ilvl w:val="0"/>
          <w:numId w:val="0"/>
        </w:numPr>
        <w:snapToGrid w:val="0"/>
        <w:spacing w:line="360" w:lineRule="auto"/>
        <w:ind w:leftChars="0"/>
        <w:jc w:val="left"/>
        <w:rPr>
          <w:rFonts w:hint="default" w:eastAsia="宋体" w:cs="Times New Roman"/>
          <w:b w:val="0"/>
          <w:bCs w:val="0"/>
          <w:sz w:val="24"/>
          <w:highlight w:val="none"/>
          <w:lang w:val="en-US" w:eastAsia="zh-CN"/>
        </w:rPr>
      </w:pPr>
      <w:r>
        <w:rPr>
          <w:rFonts w:hint="eastAsia" w:eastAsia="宋体" w:cs="Times New Roman"/>
          <w:b w:val="0"/>
          <w:bCs w:val="0"/>
          <w:sz w:val="24"/>
          <w:highlight w:val="none"/>
          <w:lang w:val="en-US" w:eastAsia="zh-CN"/>
        </w:rPr>
        <w:t>电梯保险总价限价：</w:t>
      </w:r>
      <w:r>
        <w:rPr>
          <w:rFonts w:hint="eastAsia" w:cs="Times New Roman"/>
          <w:b w:val="0"/>
          <w:bCs w:val="0"/>
          <w:sz w:val="24"/>
          <w:highlight w:val="none"/>
          <w:lang w:val="en-US" w:eastAsia="zh-CN"/>
        </w:rPr>
        <w:t>18960</w:t>
      </w:r>
      <w:r>
        <w:rPr>
          <w:rFonts w:hint="eastAsia" w:eastAsia="宋体" w:cs="Times New Roman"/>
          <w:b w:val="0"/>
          <w:bCs w:val="0"/>
          <w:sz w:val="24"/>
          <w:highlight w:val="none"/>
          <w:lang w:val="en-US" w:eastAsia="zh-CN"/>
        </w:rPr>
        <w:t>元/年</w:t>
      </w:r>
    </w:p>
    <w:p w14:paraId="01EB8AF8">
      <w:pPr>
        <w:rPr>
          <w:rFonts w:hint="default" w:ascii="宋体" w:hAnsi="宋体" w:eastAsia="宋体" w:cs="宋体"/>
          <w:color w:val="auto"/>
          <w:sz w:val="28"/>
          <w:szCs w:val="28"/>
          <w:highlight w:val="none"/>
          <w:lang w:val="en-US" w:eastAsia="zh-CN"/>
        </w:rPr>
      </w:pPr>
    </w:p>
    <w:p w14:paraId="344CD69C">
      <w:pPr>
        <w:pStyle w:val="2"/>
        <w:spacing w:before="82" w:line="360" w:lineRule="auto"/>
        <w:jc w:val="center"/>
        <w:rPr>
          <w:rFonts w:hint="default"/>
          <w:spacing w:val="-10"/>
          <w:sz w:val="25"/>
          <w:szCs w:val="25"/>
          <w:lang w:val="en-US" w:eastAsia="zh-CN"/>
        </w:rPr>
      </w:pPr>
    </w:p>
    <w:p w14:paraId="6B34EBF8">
      <w:pPr>
        <w:pStyle w:val="2"/>
        <w:spacing w:before="82" w:line="360" w:lineRule="auto"/>
        <w:jc w:val="center"/>
        <w:rPr>
          <w:rFonts w:hint="default"/>
          <w:spacing w:val="-10"/>
          <w:sz w:val="25"/>
          <w:szCs w:val="25"/>
          <w:lang w:val="en-US" w:eastAsia="zh-CN"/>
        </w:rPr>
      </w:pPr>
    </w:p>
    <w:p w14:paraId="6A45F227">
      <w:pPr>
        <w:pStyle w:val="2"/>
        <w:spacing w:before="82" w:line="360" w:lineRule="auto"/>
        <w:jc w:val="center"/>
        <w:rPr>
          <w:rFonts w:hint="default"/>
          <w:spacing w:val="-10"/>
          <w:sz w:val="25"/>
          <w:szCs w:val="25"/>
          <w:lang w:val="en-US" w:eastAsia="zh-CN"/>
        </w:rPr>
      </w:pPr>
    </w:p>
    <w:p w14:paraId="63AAAF15">
      <w:pPr>
        <w:pStyle w:val="2"/>
        <w:spacing w:before="82" w:line="360" w:lineRule="auto"/>
        <w:jc w:val="both"/>
        <w:rPr>
          <w:rFonts w:hint="default"/>
          <w:spacing w:val="-10"/>
          <w:sz w:val="25"/>
          <w:szCs w:val="25"/>
          <w:lang w:val="en-US" w:eastAsia="zh-CN"/>
        </w:rPr>
      </w:pPr>
    </w:p>
    <w:p w14:paraId="3C1D0404">
      <w:pPr>
        <w:pStyle w:val="2"/>
        <w:spacing w:before="82" w:line="360" w:lineRule="auto"/>
        <w:jc w:val="both"/>
        <w:rPr>
          <w:rFonts w:hint="default"/>
          <w:spacing w:val="-10"/>
          <w:sz w:val="25"/>
          <w:szCs w:val="25"/>
          <w:lang w:val="en-US" w:eastAsia="zh-CN"/>
        </w:rPr>
      </w:pPr>
    </w:p>
    <w:p w14:paraId="1F2F59F8">
      <w:pPr>
        <w:numPr>
          <w:ilvl w:val="0"/>
          <w:numId w:val="2"/>
        </w:numPr>
        <w:spacing w:line="360" w:lineRule="auto"/>
        <w:ind w:left="0" w:leftChars="0" w:firstLine="0" w:firstLineChars="0"/>
        <w:rPr>
          <w:rFonts w:hint="eastAsia"/>
          <w:b/>
          <w:bCs/>
          <w:sz w:val="32"/>
          <w:szCs w:val="32"/>
          <w:highlight w:val="none"/>
          <w:lang w:val="en-US" w:eastAsia="zh-CN"/>
        </w:rPr>
      </w:pPr>
      <w:r>
        <w:rPr>
          <w:rFonts w:hint="eastAsia"/>
          <w:b/>
          <w:bCs/>
          <w:sz w:val="32"/>
          <w:szCs w:val="32"/>
          <w:highlight w:val="none"/>
          <w:lang w:val="en-US" w:eastAsia="zh-CN"/>
        </w:rPr>
        <w:t>报价单</w:t>
      </w:r>
    </w:p>
    <w:p w14:paraId="0A2A7F5A">
      <w:pPr>
        <w:numPr>
          <w:ilvl w:val="0"/>
          <w:numId w:val="0"/>
        </w:numPr>
        <w:spacing w:line="360" w:lineRule="auto"/>
        <w:ind w:leftChars="0"/>
        <w:jc w:val="center"/>
        <w:rPr>
          <w:rFonts w:hint="default" w:eastAsia="宋体" w:cs="Times New Roman"/>
          <w:b/>
          <w:bCs/>
          <w:sz w:val="32"/>
          <w:szCs w:val="32"/>
          <w:highlight w:val="none"/>
          <w:lang w:val="en-US" w:eastAsia="zh-CN"/>
        </w:rPr>
      </w:pPr>
      <w:r>
        <w:rPr>
          <w:rFonts w:hint="eastAsia" w:eastAsia="宋体" w:cs="Times New Roman"/>
          <w:b/>
          <w:bCs/>
          <w:sz w:val="32"/>
          <w:szCs w:val="32"/>
          <w:highlight w:val="none"/>
          <w:lang w:val="en-US" w:eastAsia="zh-CN"/>
        </w:rPr>
        <w:t>温州医科大学附属第二医院电梯保险报价一览表</w:t>
      </w:r>
    </w:p>
    <w:tbl>
      <w:tblPr>
        <w:tblStyle w:val="5"/>
        <w:tblW w:w="112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E0E0E0"/>
        <w:tblLayout w:type="fixed"/>
        <w:tblCellMar>
          <w:top w:w="0" w:type="dxa"/>
          <w:left w:w="108" w:type="dxa"/>
          <w:bottom w:w="0" w:type="dxa"/>
          <w:right w:w="108" w:type="dxa"/>
        </w:tblCellMar>
      </w:tblPr>
      <w:tblGrid>
        <w:gridCol w:w="2014"/>
        <w:gridCol w:w="1378"/>
        <w:gridCol w:w="1240"/>
        <w:gridCol w:w="2045"/>
        <w:gridCol w:w="3132"/>
        <w:gridCol w:w="1432"/>
      </w:tblGrid>
      <w:tr w14:paraId="27E78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E0E0E0"/>
          <w:tblCellMar>
            <w:top w:w="0" w:type="dxa"/>
            <w:left w:w="108" w:type="dxa"/>
            <w:bottom w:w="0" w:type="dxa"/>
            <w:right w:w="108" w:type="dxa"/>
          </w:tblCellMar>
        </w:tblPrEx>
        <w:trPr>
          <w:cantSplit/>
          <w:trHeight w:val="768" w:hRule="atLeast"/>
          <w:jc w:val="center"/>
        </w:trPr>
        <w:tc>
          <w:tcPr>
            <w:tcW w:w="2014" w:type="dxa"/>
            <w:tcBorders>
              <w:top w:val="single" w:color="auto" w:sz="12" w:space="0"/>
              <w:left w:val="single" w:color="auto" w:sz="4" w:space="0"/>
              <w:bottom w:val="single" w:color="auto" w:sz="4" w:space="0"/>
            </w:tcBorders>
            <w:shd w:val="clear" w:color="auto" w:fill="E0E0E0"/>
            <w:vAlign w:val="center"/>
          </w:tcPr>
          <w:p w14:paraId="437A9457">
            <w:pPr>
              <w:ind w:right="-21" w:rightChars="-10"/>
              <w:jc w:val="center"/>
              <w:rPr>
                <w:rFonts w:ascii="宋体" w:hAnsi="宋体"/>
                <w:b/>
                <w:bCs/>
              </w:rPr>
            </w:pPr>
            <w:r>
              <w:rPr>
                <w:rFonts w:hint="eastAsia" w:ascii="宋体" w:hAnsi="宋体"/>
                <w:b/>
                <w:bCs/>
              </w:rPr>
              <w:t>投标项目</w:t>
            </w:r>
          </w:p>
        </w:tc>
        <w:tc>
          <w:tcPr>
            <w:tcW w:w="1378" w:type="dxa"/>
            <w:tcBorders>
              <w:top w:val="single" w:color="auto" w:sz="12" w:space="0"/>
              <w:bottom w:val="single" w:color="auto" w:sz="4" w:space="0"/>
              <w:right w:val="single" w:color="auto" w:sz="4" w:space="0"/>
            </w:tcBorders>
            <w:shd w:val="clear" w:color="auto" w:fill="E0E0E0"/>
            <w:vAlign w:val="center"/>
          </w:tcPr>
          <w:p w14:paraId="2521F9D0">
            <w:pPr>
              <w:ind w:right="-21" w:rightChars="-10"/>
              <w:jc w:val="center"/>
              <w:rPr>
                <w:rFonts w:hint="default" w:ascii="宋体" w:hAnsi="宋体" w:eastAsia="宋体"/>
                <w:b/>
                <w:bCs/>
                <w:lang w:val="en-US" w:eastAsia="zh-CN"/>
              </w:rPr>
            </w:pPr>
            <w:r>
              <w:rPr>
                <w:rFonts w:hint="eastAsia" w:ascii="宋体" w:hAnsi="宋体"/>
                <w:b/>
                <w:bCs/>
                <w:lang w:val="en-US" w:eastAsia="zh-CN"/>
              </w:rPr>
              <w:t>电梯类别</w:t>
            </w:r>
          </w:p>
        </w:tc>
        <w:tc>
          <w:tcPr>
            <w:tcW w:w="1240" w:type="dxa"/>
            <w:tcBorders>
              <w:top w:val="single" w:color="auto" w:sz="12" w:space="0"/>
              <w:bottom w:val="single" w:color="auto" w:sz="4" w:space="0"/>
              <w:right w:val="single" w:color="auto" w:sz="4" w:space="0"/>
            </w:tcBorders>
            <w:shd w:val="clear" w:color="auto" w:fill="E0E0E0"/>
            <w:vAlign w:val="center"/>
          </w:tcPr>
          <w:p w14:paraId="7CF10FAA">
            <w:pPr>
              <w:ind w:right="-21" w:rightChars="-10"/>
              <w:jc w:val="center"/>
              <w:rPr>
                <w:rFonts w:hint="eastAsia" w:ascii="宋体" w:hAnsi="宋体" w:eastAsia="宋体"/>
                <w:b/>
                <w:bCs/>
                <w:lang w:val="en-US" w:eastAsia="zh-CN"/>
              </w:rPr>
            </w:pPr>
            <w:r>
              <w:rPr>
                <w:rFonts w:hint="eastAsia" w:ascii="宋体" w:hAnsi="宋体"/>
                <w:b/>
                <w:bCs/>
                <w:lang w:val="en-US" w:eastAsia="zh-CN"/>
              </w:rPr>
              <w:t>数量（台）</w:t>
            </w:r>
          </w:p>
        </w:tc>
        <w:tc>
          <w:tcPr>
            <w:tcW w:w="2045" w:type="dxa"/>
            <w:tcBorders>
              <w:top w:val="single" w:color="auto" w:sz="12" w:space="0"/>
              <w:bottom w:val="single" w:color="auto" w:sz="4" w:space="0"/>
              <w:right w:val="single" w:color="auto" w:sz="4" w:space="0"/>
            </w:tcBorders>
            <w:shd w:val="clear" w:color="auto" w:fill="E0E0E0"/>
            <w:vAlign w:val="center"/>
          </w:tcPr>
          <w:p w14:paraId="11C55426">
            <w:pPr>
              <w:ind w:right="-21" w:rightChars="-10"/>
              <w:jc w:val="center"/>
              <w:rPr>
                <w:rFonts w:hint="eastAsia" w:ascii="宋体" w:hAnsi="宋体"/>
                <w:b/>
                <w:bCs/>
              </w:rPr>
            </w:pPr>
            <w:r>
              <w:rPr>
                <w:rFonts w:hint="eastAsia" w:ascii="宋体" w:hAnsi="宋体"/>
                <w:b/>
                <w:bCs/>
              </w:rPr>
              <w:t>投标</w:t>
            </w:r>
            <w:r>
              <w:rPr>
                <w:rFonts w:hint="eastAsia" w:ascii="宋体" w:hAnsi="宋体"/>
                <w:b/>
                <w:bCs/>
                <w:lang w:val="en-US" w:eastAsia="zh-CN"/>
              </w:rPr>
              <w:t>单</w:t>
            </w:r>
            <w:r>
              <w:rPr>
                <w:rFonts w:hint="eastAsia" w:ascii="宋体" w:hAnsi="宋体"/>
                <w:b/>
                <w:bCs/>
              </w:rPr>
              <w:t>价（元/</w:t>
            </w:r>
            <w:r>
              <w:rPr>
                <w:rFonts w:hint="eastAsia" w:ascii="宋体" w:hAnsi="宋体"/>
                <w:b/>
                <w:bCs/>
                <w:lang w:val="en-US" w:eastAsia="zh-CN"/>
              </w:rPr>
              <w:t>台/</w:t>
            </w:r>
            <w:r>
              <w:rPr>
                <w:rFonts w:hint="eastAsia" w:ascii="宋体" w:hAnsi="宋体"/>
                <w:b/>
                <w:bCs/>
              </w:rPr>
              <w:t>年）</w:t>
            </w:r>
          </w:p>
        </w:tc>
        <w:tc>
          <w:tcPr>
            <w:tcW w:w="3132" w:type="dxa"/>
            <w:tcBorders>
              <w:top w:val="single" w:color="auto" w:sz="12" w:space="0"/>
              <w:bottom w:val="single" w:color="auto" w:sz="4" w:space="0"/>
            </w:tcBorders>
            <w:shd w:val="clear" w:color="auto" w:fill="E0E0E0"/>
            <w:vAlign w:val="center"/>
          </w:tcPr>
          <w:p w14:paraId="5876075D">
            <w:pPr>
              <w:ind w:right="-21" w:rightChars="-10"/>
              <w:jc w:val="center"/>
              <w:rPr>
                <w:rFonts w:hint="eastAsia" w:ascii="宋体" w:hAnsi="宋体" w:eastAsia="宋体"/>
                <w:b/>
                <w:bCs/>
                <w:lang w:val="en-US" w:eastAsia="zh-CN"/>
              </w:rPr>
            </w:pPr>
            <w:r>
              <w:rPr>
                <w:rFonts w:hint="eastAsia" w:ascii="宋体" w:hAnsi="宋体"/>
                <w:b/>
                <w:bCs/>
                <w:lang w:val="en-US" w:eastAsia="zh-CN"/>
              </w:rPr>
              <w:t>小计</w:t>
            </w:r>
            <w:r>
              <w:rPr>
                <w:rFonts w:hint="eastAsia" w:ascii="宋体" w:hAnsi="宋体"/>
                <w:b/>
                <w:bCs/>
                <w:lang w:eastAsia="zh-CN"/>
              </w:rPr>
              <w:t>（</w:t>
            </w:r>
            <w:r>
              <w:rPr>
                <w:rFonts w:hint="eastAsia" w:ascii="宋体" w:hAnsi="宋体"/>
                <w:b/>
                <w:bCs/>
              </w:rPr>
              <w:t>元</w:t>
            </w:r>
            <w:r>
              <w:rPr>
                <w:rFonts w:hint="eastAsia" w:ascii="宋体" w:hAnsi="宋体"/>
                <w:b/>
                <w:bCs/>
                <w:lang w:val="en-US" w:eastAsia="zh-CN"/>
              </w:rPr>
              <w:t>/</w:t>
            </w:r>
            <w:r>
              <w:rPr>
                <w:rFonts w:hint="eastAsia" w:ascii="宋体" w:hAnsi="宋体"/>
                <w:b/>
                <w:bCs/>
              </w:rPr>
              <w:t>年</w:t>
            </w:r>
            <w:r>
              <w:rPr>
                <w:rFonts w:hint="eastAsia" w:ascii="宋体" w:hAnsi="宋体"/>
                <w:b/>
                <w:bCs/>
                <w:lang w:eastAsia="zh-CN"/>
              </w:rPr>
              <w:t>）</w:t>
            </w:r>
          </w:p>
        </w:tc>
        <w:tc>
          <w:tcPr>
            <w:tcW w:w="1432" w:type="dxa"/>
            <w:tcBorders>
              <w:top w:val="single" w:color="auto" w:sz="12" w:space="0"/>
              <w:bottom w:val="single" w:color="auto" w:sz="4" w:space="0"/>
              <w:right w:val="single" w:color="auto" w:sz="4" w:space="0"/>
            </w:tcBorders>
            <w:shd w:val="clear" w:color="auto" w:fill="E0E0E0"/>
            <w:vAlign w:val="center"/>
          </w:tcPr>
          <w:p w14:paraId="3E68BAE5">
            <w:pPr>
              <w:ind w:right="-21" w:rightChars="-10"/>
              <w:jc w:val="center"/>
              <w:rPr>
                <w:rFonts w:hint="eastAsia" w:ascii="宋体" w:hAnsi="宋体"/>
                <w:b/>
                <w:bCs/>
              </w:rPr>
            </w:pPr>
            <w:r>
              <w:rPr>
                <w:rFonts w:hint="eastAsia" w:ascii="宋体" w:hAnsi="宋体"/>
                <w:b/>
                <w:bCs/>
              </w:rPr>
              <w:t>备注</w:t>
            </w:r>
          </w:p>
        </w:tc>
      </w:tr>
      <w:tr w14:paraId="470AB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4" w:hRule="atLeast"/>
          <w:jc w:val="center"/>
        </w:trPr>
        <w:tc>
          <w:tcPr>
            <w:tcW w:w="2014" w:type="dxa"/>
            <w:vMerge w:val="restart"/>
            <w:tcBorders>
              <w:top w:val="single" w:color="auto" w:sz="4" w:space="0"/>
              <w:left w:val="single" w:color="auto" w:sz="4" w:space="0"/>
            </w:tcBorders>
            <w:shd w:val="clear" w:color="auto" w:fill="E0E0E0"/>
            <w:vAlign w:val="center"/>
          </w:tcPr>
          <w:p w14:paraId="17A62324">
            <w:pPr>
              <w:ind w:right="-21" w:rightChars="-10"/>
              <w:jc w:val="center"/>
              <w:rPr>
                <w:rFonts w:ascii="宋体" w:hAnsi="宋体"/>
                <w:bCs/>
                <w:szCs w:val="21"/>
              </w:rPr>
            </w:pPr>
            <w:r>
              <w:rPr>
                <w:rFonts w:hint="eastAsia" w:ascii="宋体" w:hAnsi="宋体"/>
              </w:rPr>
              <w:t>温州医科大学附属第二医院</w:t>
            </w:r>
            <w:r>
              <w:rPr>
                <w:rFonts w:hint="eastAsia" w:ascii="宋体" w:hAnsi="宋体"/>
                <w:lang w:val="en-US" w:eastAsia="zh-CN"/>
              </w:rPr>
              <w:t>电梯保险</w:t>
            </w:r>
          </w:p>
        </w:tc>
        <w:tc>
          <w:tcPr>
            <w:tcW w:w="1378" w:type="dxa"/>
            <w:tcBorders>
              <w:top w:val="single" w:color="auto" w:sz="4" w:space="0"/>
              <w:bottom w:val="single" w:color="auto" w:sz="4" w:space="0"/>
              <w:right w:val="single" w:color="auto" w:sz="4" w:space="0"/>
            </w:tcBorders>
            <w:shd w:val="clear" w:color="auto" w:fill="E0E0E0"/>
            <w:vAlign w:val="center"/>
          </w:tcPr>
          <w:p w14:paraId="6CB32AF9">
            <w:pPr>
              <w:ind w:right="-21" w:rightChars="-10"/>
              <w:jc w:val="center"/>
              <w:rPr>
                <w:rFonts w:hint="eastAsia" w:ascii="宋体" w:hAnsi="宋体" w:eastAsia="宋体"/>
                <w:b/>
                <w:bCs/>
                <w:lang w:val="en-US" w:eastAsia="zh-CN"/>
              </w:rPr>
            </w:pPr>
            <w:r>
              <w:rPr>
                <w:rFonts w:hint="eastAsia" w:ascii="宋体" w:hAnsi="宋体" w:eastAsia="宋体" w:cs="Times New Roman"/>
                <w:lang w:val="en-US" w:eastAsia="zh-CN"/>
              </w:rPr>
              <w:t>扶梯</w:t>
            </w:r>
          </w:p>
        </w:tc>
        <w:tc>
          <w:tcPr>
            <w:tcW w:w="1240" w:type="dxa"/>
            <w:tcBorders>
              <w:top w:val="single" w:color="auto" w:sz="4" w:space="0"/>
              <w:bottom w:val="single" w:color="auto" w:sz="4" w:space="0"/>
              <w:right w:val="single" w:color="auto" w:sz="4" w:space="0"/>
            </w:tcBorders>
            <w:shd w:val="clear" w:color="auto" w:fill="E0E0E0"/>
            <w:vAlign w:val="center"/>
          </w:tcPr>
          <w:p w14:paraId="2AC6DAA1">
            <w:pPr>
              <w:ind w:right="-21" w:rightChars="-10"/>
              <w:jc w:val="center"/>
              <w:rPr>
                <w:rFonts w:hint="default" w:ascii="宋体" w:hAnsi="宋体" w:eastAsia="宋体"/>
                <w:b/>
                <w:bCs/>
                <w:lang w:val="en-US" w:eastAsia="zh-CN"/>
              </w:rPr>
            </w:pPr>
            <w:r>
              <w:rPr>
                <w:rFonts w:hint="eastAsia" w:ascii="宋体" w:hAnsi="宋体"/>
                <w:b/>
                <w:bCs/>
                <w:lang w:val="en-US" w:eastAsia="zh-CN"/>
              </w:rPr>
              <w:t>22</w:t>
            </w:r>
          </w:p>
        </w:tc>
        <w:tc>
          <w:tcPr>
            <w:tcW w:w="2045" w:type="dxa"/>
            <w:tcBorders>
              <w:top w:val="single" w:color="auto" w:sz="4" w:space="0"/>
              <w:bottom w:val="single" w:color="auto" w:sz="4" w:space="0"/>
              <w:right w:val="single" w:color="auto" w:sz="4" w:space="0"/>
            </w:tcBorders>
            <w:shd w:val="clear" w:color="auto" w:fill="E0E0E0"/>
            <w:vAlign w:val="center"/>
          </w:tcPr>
          <w:p w14:paraId="0386C1AB">
            <w:pPr>
              <w:ind w:right="-21" w:rightChars="-10"/>
              <w:jc w:val="center"/>
              <w:rPr>
                <w:rFonts w:ascii="宋体" w:hAnsi="宋体"/>
                <w:b/>
                <w:bCs/>
              </w:rPr>
            </w:pPr>
          </w:p>
        </w:tc>
        <w:tc>
          <w:tcPr>
            <w:tcW w:w="3132" w:type="dxa"/>
            <w:tcBorders>
              <w:top w:val="single" w:color="auto" w:sz="4" w:space="0"/>
              <w:bottom w:val="single" w:color="auto" w:sz="4" w:space="0"/>
            </w:tcBorders>
            <w:shd w:val="clear" w:color="auto" w:fill="E0E0E0"/>
            <w:vAlign w:val="center"/>
          </w:tcPr>
          <w:p w14:paraId="61CFC060">
            <w:pPr>
              <w:ind w:right="-21" w:rightChars="-10"/>
              <w:jc w:val="center"/>
              <w:rPr>
                <w:rFonts w:ascii="宋体" w:hAnsi="宋体"/>
                <w:b/>
                <w:bCs/>
              </w:rPr>
            </w:pPr>
          </w:p>
        </w:tc>
        <w:tc>
          <w:tcPr>
            <w:tcW w:w="1432" w:type="dxa"/>
            <w:tcBorders>
              <w:top w:val="single" w:color="auto" w:sz="4" w:space="0"/>
              <w:bottom w:val="single" w:color="auto" w:sz="4" w:space="0"/>
              <w:right w:val="single" w:color="auto" w:sz="4" w:space="0"/>
            </w:tcBorders>
            <w:shd w:val="clear" w:color="auto" w:fill="E0E0E0"/>
            <w:vAlign w:val="center"/>
          </w:tcPr>
          <w:p w14:paraId="60799574">
            <w:pPr>
              <w:ind w:right="-21" w:rightChars="-10"/>
              <w:jc w:val="center"/>
              <w:rPr>
                <w:rFonts w:ascii="宋体" w:hAnsi="宋体"/>
                <w:b/>
                <w:bCs/>
              </w:rPr>
            </w:pPr>
          </w:p>
        </w:tc>
      </w:tr>
      <w:tr w14:paraId="020BA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4" w:hRule="atLeast"/>
          <w:jc w:val="center"/>
        </w:trPr>
        <w:tc>
          <w:tcPr>
            <w:tcW w:w="2014" w:type="dxa"/>
            <w:vMerge w:val="continue"/>
            <w:tcBorders>
              <w:left w:val="single" w:color="auto" w:sz="4" w:space="0"/>
            </w:tcBorders>
            <w:shd w:val="clear" w:color="auto" w:fill="E0E0E0"/>
            <w:vAlign w:val="center"/>
          </w:tcPr>
          <w:p w14:paraId="3EFF6A27">
            <w:pPr>
              <w:ind w:right="-21" w:rightChars="-10"/>
              <w:jc w:val="center"/>
              <w:rPr>
                <w:rFonts w:hint="eastAsia" w:ascii="宋体" w:hAnsi="宋体"/>
              </w:rPr>
            </w:pPr>
          </w:p>
        </w:tc>
        <w:tc>
          <w:tcPr>
            <w:tcW w:w="1378" w:type="dxa"/>
            <w:tcBorders>
              <w:top w:val="single" w:color="auto" w:sz="4" w:space="0"/>
              <w:bottom w:val="single" w:color="auto" w:sz="4" w:space="0"/>
              <w:right w:val="single" w:color="auto" w:sz="4" w:space="0"/>
            </w:tcBorders>
            <w:shd w:val="clear" w:color="auto" w:fill="E0E0E0"/>
            <w:vAlign w:val="center"/>
          </w:tcPr>
          <w:p w14:paraId="510826E0">
            <w:pPr>
              <w:ind w:right="-21" w:rightChars="-10"/>
              <w:jc w:val="center"/>
              <w:rPr>
                <w:rFonts w:hint="eastAsia" w:ascii="宋体" w:hAnsi="宋体" w:eastAsia="宋体"/>
                <w:b/>
                <w:bCs/>
                <w:lang w:val="en-US" w:eastAsia="zh-CN"/>
              </w:rPr>
            </w:pPr>
            <w:r>
              <w:rPr>
                <w:rFonts w:hint="eastAsia" w:ascii="宋体" w:hAnsi="宋体" w:eastAsia="宋体" w:cs="Times New Roman"/>
                <w:lang w:val="en-US" w:eastAsia="zh-CN"/>
              </w:rPr>
              <w:t>直梯</w:t>
            </w:r>
          </w:p>
        </w:tc>
        <w:tc>
          <w:tcPr>
            <w:tcW w:w="1240" w:type="dxa"/>
            <w:tcBorders>
              <w:top w:val="single" w:color="auto" w:sz="4" w:space="0"/>
              <w:bottom w:val="single" w:color="auto" w:sz="4" w:space="0"/>
              <w:right w:val="single" w:color="auto" w:sz="4" w:space="0"/>
            </w:tcBorders>
            <w:shd w:val="clear" w:color="auto" w:fill="E0E0E0"/>
            <w:vAlign w:val="center"/>
          </w:tcPr>
          <w:p w14:paraId="170C93C2">
            <w:pPr>
              <w:ind w:right="-21" w:rightChars="-10"/>
              <w:jc w:val="center"/>
              <w:rPr>
                <w:rFonts w:hint="default" w:ascii="宋体" w:hAnsi="宋体" w:eastAsia="宋体"/>
                <w:b/>
                <w:bCs/>
                <w:lang w:val="en-US" w:eastAsia="zh-CN"/>
              </w:rPr>
            </w:pPr>
            <w:r>
              <w:rPr>
                <w:rFonts w:hint="eastAsia" w:ascii="宋体" w:hAnsi="宋体"/>
                <w:b/>
                <w:bCs/>
                <w:lang w:val="en-US" w:eastAsia="zh-CN"/>
              </w:rPr>
              <w:t>136</w:t>
            </w:r>
          </w:p>
        </w:tc>
        <w:tc>
          <w:tcPr>
            <w:tcW w:w="2045" w:type="dxa"/>
            <w:tcBorders>
              <w:top w:val="single" w:color="auto" w:sz="4" w:space="0"/>
              <w:bottom w:val="single" w:color="auto" w:sz="4" w:space="0"/>
              <w:right w:val="single" w:color="auto" w:sz="4" w:space="0"/>
            </w:tcBorders>
            <w:shd w:val="clear" w:color="auto" w:fill="E0E0E0"/>
            <w:vAlign w:val="center"/>
          </w:tcPr>
          <w:p w14:paraId="7902FBD8">
            <w:pPr>
              <w:ind w:right="-21" w:rightChars="-10"/>
              <w:jc w:val="center"/>
              <w:rPr>
                <w:rFonts w:ascii="宋体" w:hAnsi="宋体"/>
                <w:b/>
                <w:bCs/>
              </w:rPr>
            </w:pPr>
          </w:p>
        </w:tc>
        <w:tc>
          <w:tcPr>
            <w:tcW w:w="3132" w:type="dxa"/>
            <w:tcBorders>
              <w:top w:val="single" w:color="auto" w:sz="4" w:space="0"/>
              <w:bottom w:val="single" w:color="auto" w:sz="4" w:space="0"/>
            </w:tcBorders>
            <w:shd w:val="clear" w:color="auto" w:fill="E0E0E0"/>
            <w:vAlign w:val="center"/>
          </w:tcPr>
          <w:p w14:paraId="65F95DD0">
            <w:pPr>
              <w:ind w:right="-21" w:rightChars="-10"/>
              <w:jc w:val="center"/>
              <w:rPr>
                <w:rFonts w:ascii="宋体" w:hAnsi="宋体"/>
                <w:b/>
                <w:bCs/>
              </w:rPr>
            </w:pPr>
          </w:p>
        </w:tc>
        <w:tc>
          <w:tcPr>
            <w:tcW w:w="1432" w:type="dxa"/>
            <w:tcBorders>
              <w:top w:val="single" w:color="auto" w:sz="4" w:space="0"/>
              <w:bottom w:val="single" w:color="auto" w:sz="4" w:space="0"/>
              <w:right w:val="single" w:color="auto" w:sz="4" w:space="0"/>
            </w:tcBorders>
            <w:shd w:val="clear" w:color="auto" w:fill="E0E0E0"/>
            <w:vAlign w:val="center"/>
          </w:tcPr>
          <w:p w14:paraId="52EF3ABC">
            <w:pPr>
              <w:ind w:right="-21" w:rightChars="-10"/>
              <w:jc w:val="center"/>
              <w:rPr>
                <w:rFonts w:ascii="宋体" w:hAnsi="宋体"/>
                <w:b/>
                <w:bCs/>
              </w:rPr>
            </w:pPr>
          </w:p>
        </w:tc>
      </w:tr>
      <w:tr w14:paraId="10936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jc w:val="center"/>
        </w:trPr>
        <w:tc>
          <w:tcPr>
            <w:tcW w:w="11241" w:type="dxa"/>
            <w:gridSpan w:val="6"/>
            <w:tcBorders>
              <w:left w:val="single" w:color="auto" w:sz="4" w:space="0"/>
              <w:right w:val="single" w:color="auto" w:sz="4" w:space="0"/>
            </w:tcBorders>
            <w:shd w:val="clear" w:color="auto" w:fill="E0E0E0"/>
            <w:vAlign w:val="center"/>
          </w:tcPr>
          <w:p w14:paraId="3B0C2D01">
            <w:pPr>
              <w:ind w:right="-21" w:rightChars="-10"/>
              <w:jc w:val="center"/>
              <w:rPr>
                <w:rFonts w:hint="default" w:ascii="宋体" w:hAnsi="宋体"/>
                <w:b/>
                <w:bCs/>
                <w:lang w:val="en-US"/>
              </w:rPr>
            </w:pPr>
            <w:r>
              <w:rPr>
                <w:rFonts w:hint="eastAsia" w:ascii="宋体" w:hAnsi="宋体"/>
                <w:b/>
                <w:bCs/>
                <w:lang w:val="en-US" w:eastAsia="zh-CN"/>
              </w:rPr>
              <w:t>合计：</w:t>
            </w:r>
            <w:r>
              <w:rPr>
                <w:rFonts w:hint="eastAsia" w:ascii="宋体" w:hAnsi="宋体"/>
                <w:b/>
                <w:bCs/>
                <w:u w:val="single"/>
                <w:lang w:val="en-US" w:eastAsia="zh-CN"/>
              </w:rPr>
              <w:t xml:space="preserve">           </w:t>
            </w:r>
            <w:r>
              <w:rPr>
                <w:rFonts w:hint="eastAsia" w:ascii="宋体" w:hAnsi="宋体"/>
                <w:b/>
                <w:bCs/>
                <w:lang w:val="en-US" w:eastAsia="zh-CN"/>
              </w:rPr>
              <w:t>元（大写：</w:t>
            </w:r>
            <w:r>
              <w:rPr>
                <w:rFonts w:hint="eastAsia" w:ascii="宋体" w:hAnsi="宋体"/>
                <w:b/>
                <w:bCs/>
                <w:u w:val="single"/>
                <w:lang w:val="en-US" w:eastAsia="zh-CN"/>
              </w:rPr>
              <w:t xml:space="preserve">                                      </w:t>
            </w:r>
            <w:r>
              <w:rPr>
                <w:rFonts w:hint="eastAsia" w:ascii="宋体" w:hAnsi="宋体"/>
                <w:b/>
                <w:bCs/>
                <w:lang w:val="en-US" w:eastAsia="zh-CN"/>
              </w:rPr>
              <w:t>）</w:t>
            </w:r>
          </w:p>
        </w:tc>
      </w:tr>
    </w:tbl>
    <w:p w14:paraId="59437D38">
      <w:pPr>
        <w:numPr>
          <w:ilvl w:val="0"/>
          <w:numId w:val="0"/>
        </w:numPr>
        <w:ind w:right="-21" w:rightChars="-10"/>
        <w:jc w:val="left"/>
        <w:rPr>
          <w:rFonts w:hint="eastAsia" w:ascii="宋体" w:hAnsi="宋体" w:cs="Times New Roman"/>
          <w:bCs/>
          <w:sz w:val="24"/>
          <w:lang w:val="en-US" w:eastAsia="zh-CN"/>
        </w:rPr>
      </w:pPr>
      <w:r>
        <w:rPr>
          <w:rFonts w:hint="eastAsia"/>
          <w:b/>
          <w:bCs/>
          <w:sz w:val="24"/>
        </w:rPr>
        <w:t>说明</w:t>
      </w:r>
      <w:r>
        <w:rPr>
          <w:rFonts w:hint="eastAsia"/>
          <w:b/>
          <w:bCs/>
          <w:sz w:val="24"/>
          <w:lang w:val="en-US" w:eastAsia="zh-CN"/>
        </w:rPr>
        <w:t>1</w:t>
      </w:r>
      <w:r>
        <w:rPr>
          <w:rFonts w:hint="eastAsia"/>
          <w:b/>
          <w:bCs/>
          <w:sz w:val="24"/>
        </w:rPr>
        <w:t>：</w:t>
      </w:r>
      <w:r>
        <w:rPr>
          <w:rFonts w:hint="eastAsia"/>
          <w:sz w:val="24"/>
        </w:rPr>
        <w:t>上</w:t>
      </w:r>
      <w:r>
        <w:rPr>
          <w:rFonts w:hint="eastAsia" w:ascii="宋体" w:hAnsi="宋体" w:cs="Times New Roman"/>
          <w:bCs/>
          <w:sz w:val="24"/>
          <w:lang w:val="en-US" w:eastAsia="zh-CN"/>
        </w:rPr>
        <w:t>述</w:t>
      </w:r>
      <w:r>
        <w:rPr>
          <w:rFonts w:hint="eastAsia" w:ascii="宋体" w:hAnsi="宋体"/>
          <w:bCs/>
          <w:sz w:val="24"/>
        </w:rPr>
        <w:t>报价单价包括但不限于</w:t>
      </w:r>
      <w:r>
        <w:rPr>
          <w:rFonts w:hint="eastAsia" w:ascii="宋体" w:hAnsi="宋体"/>
          <w:bCs/>
          <w:sz w:val="24"/>
          <w:lang w:val="en-US" w:eastAsia="zh-CN"/>
        </w:rPr>
        <w:t>保险费</w:t>
      </w:r>
      <w:r>
        <w:rPr>
          <w:rFonts w:hint="eastAsia" w:ascii="宋体" w:hAnsi="宋体"/>
          <w:bCs/>
          <w:sz w:val="24"/>
        </w:rPr>
        <w:t>、税费、售后等</w:t>
      </w:r>
      <w:r>
        <w:rPr>
          <w:rFonts w:hint="eastAsia" w:ascii="宋体" w:hAnsi="宋体"/>
          <w:bCs/>
          <w:sz w:val="24"/>
          <w:lang w:eastAsia="zh-CN"/>
        </w:rPr>
        <w:t>。</w:t>
      </w:r>
    </w:p>
    <w:p w14:paraId="5647F9ED">
      <w:pPr>
        <w:widowControl/>
        <w:spacing w:line="240" w:lineRule="auto"/>
        <w:jc w:val="left"/>
        <w:rPr>
          <w:rFonts w:ascii="宋体" w:hAnsi="宋体"/>
          <w:bCs/>
          <w:sz w:val="24"/>
        </w:rPr>
      </w:pPr>
      <w:r>
        <w:rPr>
          <w:rFonts w:hint="eastAsia" w:ascii="宋体" w:hAnsi="宋体"/>
          <w:b/>
          <w:sz w:val="24"/>
        </w:rPr>
        <w:t>说明</w:t>
      </w:r>
      <w:r>
        <w:rPr>
          <w:rFonts w:hint="eastAsia" w:ascii="宋体" w:hAnsi="宋体"/>
          <w:b/>
          <w:sz w:val="24"/>
          <w:lang w:val="en-US" w:eastAsia="zh-CN"/>
        </w:rPr>
        <w:t>2</w:t>
      </w:r>
      <w:r>
        <w:rPr>
          <w:rFonts w:hint="eastAsia" w:ascii="宋体" w:hAnsi="宋体"/>
          <w:b/>
          <w:sz w:val="24"/>
        </w:rPr>
        <w:t>：</w:t>
      </w:r>
      <w:r>
        <w:rPr>
          <w:rFonts w:hint="eastAsia" w:ascii="宋体" w:hAnsi="宋体" w:cs="宋体"/>
          <w:color w:val="000000"/>
          <w:kern w:val="0"/>
          <w:sz w:val="24"/>
        </w:rPr>
        <w:t xml:space="preserve">小写与大写的金额不一致以大写金额为准。 </w:t>
      </w:r>
    </w:p>
    <w:p w14:paraId="215D5E08">
      <w:pPr>
        <w:widowControl/>
        <w:spacing w:line="240" w:lineRule="auto"/>
        <w:jc w:val="left"/>
        <w:rPr>
          <w:rFonts w:ascii="宋体" w:hAnsi="宋体"/>
          <w:bCs/>
          <w:sz w:val="24"/>
        </w:rPr>
      </w:pPr>
      <w:r>
        <w:rPr>
          <w:rFonts w:hint="eastAsia" w:ascii="宋体" w:hAnsi="宋体"/>
          <w:b/>
          <w:sz w:val="24"/>
        </w:rPr>
        <w:t>说明</w:t>
      </w:r>
      <w:r>
        <w:rPr>
          <w:rFonts w:hint="eastAsia" w:ascii="宋体" w:hAnsi="宋体"/>
          <w:b/>
          <w:sz w:val="24"/>
          <w:lang w:val="en-US" w:eastAsia="zh-CN"/>
        </w:rPr>
        <w:t>3</w:t>
      </w:r>
      <w:r>
        <w:rPr>
          <w:rFonts w:hint="eastAsia" w:ascii="宋体" w:hAnsi="宋体"/>
          <w:b/>
          <w:sz w:val="24"/>
        </w:rPr>
        <w:t>：</w:t>
      </w:r>
      <w:r>
        <w:rPr>
          <w:rFonts w:hint="eastAsia" w:ascii="宋体" w:hAnsi="宋体"/>
          <w:bCs/>
          <w:sz w:val="24"/>
        </w:rPr>
        <w:t>投标人已仔细研究了温州医科大学附属第二医院电梯保险项目的情况说明，已充分理解并掌握了本询价项目的全部有关情况。同意接受并响应询价文件的全部内容和条件。</w:t>
      </w:r>
    </w:p>
    <w:p w14:paraId="5BF87B75">
      <w:pPr>
        <w:numPr>
          <w:ilvl w:val="0"/>
          <w:numId w:val="0"/>
        </w:numPr>
        <w:snapToGrid w:val="0"/>
        <w:spacing w:line="240" w:lineRule="auto"/>
        <w:ind w:leftChars="0"/>
        <w:jc w:val="left"/>
        <w:rPr>
          <w:rFonts w:hint="default" w:eastAsia="宋体"/>
          <w:lang w:val="en-US" w:eastAsia="zh-CN"/>
        </w:rPr>
      </w:pPr>
      <w:r>
        <w:rPr>
          <w:rFonts w:hint="eastAsia" w:ascii="宋体" w:hAnsi="宋体"/>
          <w:b/>
          <w:sz w:val="24"/>
        </w:rPr>
        <w:t>说明</w:t>
      </w:r>
      <w:r>
        <w:rPr>
          <w:rFonts w:hint="eastAsia" w:ascii="宋体" w:hAnsi="宋体"/>
          <w:b/>
          <w:sz w:val="24"/>
          <w:lang w:val="en-US" w:eastAsia="zh-CN"/>
        </w:rPr>
        <w:t>4</w:t>
      </w:r>
      <w:r>
        <w:rPr>
          <w:rFonts w:hint="eastAsia" w:ascii="宋体" w:hAnsi="宋体"/>
          <w:b/>
          <w:sz w:val="24"/>
        </w:rPr>
        <w:t>：</w:t>
      </w:r>
      <w:r>
        <w:rPr>
          <w:rFonts w:hint="eastAsia" w:ascii="宋体" w:hAnsi="宋体" w:cs="宋体"/>
          <w:sz w:val="24"/>
          <w:highlight w:val="none"/>
          <w:lang w:val="en-US" w:eastAsia="zh-CN"/>
        </w:rPr>
        <w:t>保险期限：一年。</w:t>
      </w:r>
    </w:p>
    <w:p w14:paraId="601EA36E">
      <w:pPr>
        <w:widowControl/>
        <w:spacing w:line="240" w:lineRule="auto"/>
        <w:jc w:val="left"/>
        <w:rPr>
          <w:rFonts w:ascii="Arial"/>
        </w:rPr>
      </w:pPr>
      <w:r>
        <w:rPr>
          <w:rFonts w:hint="eastAsia" w:ascii="宋体" w:hAnsi="宋体"/>
          <w:b/>
          <w:sz w:val="24"/>
        </w:rPr>
        <w:t>▲说明</w:t>
      </w:r>
      <w:r>
        <w:rPr>
          <w:rFonts w:hint="eastAsia" w:ascii="宋体" w:hAnsi="宋体"/>
          <w:b/>
          <w:sz w:val="24"/>
          <w:lang w:val="en-US" w:eastAsia="zh-CN"/>
        </w:rPr>
        <w:t>5</w:t>
      </w:r>
      <w:r>
        <w:rPr>
          <w:rFonts w:hint="eastAsia" w:ascii="宋体" w:hAnsi="宋体"/>
          <w:b/>
          <w:sz w:val="24"/>
        </w:rPr>
        <w:t>：</w:t>
      </w:r>
      <w:r>
        <w:rPr>
          <w:rFonts w:hint="eastAsia" w:ascii="宋体" w:hAnsi="宋体"/>
          <w:bCs/>
          <w:sz w:val="24"/>
          <w:lang w:val="en-US" w:eastAsia="zh-CN"/>
        </w:rPr>
        <w:t>投标单</w:t>
      </w:r>
      <w:r>
        <w:rPr>
          <w:rFonts w:hint="eastAsia" w:ascii="宋体" w:hAnsi="宋体" w:cs="Times New Roman"/>
          <w:bCs/>
          <w:sz w:val="24"/>
          <w:lang w:val="en-US" w:eastAsia="zh-CN"/>
        </w:rPr>
        <w:t>价不得高于电梯保险单价限价。</w:t>
      </w:r>
    </w:p>
    <w:p w14:paraId="4BD627E1">
      <w:pPr>
        <w:spacing w:line="340" w:lineRule="exact"/>
        <w:ind w:right="-21" w:rightChars="-10"/>
        <w:rPr>
          <w:rFonts w:ascii="宋体" w:hAnsi="宋体" w:cs="Arial"/>
          <w:szCs w:val="21"/>
          <w:u w:val="single"/>
        </w:rPr>
      </w:pPr>
    </w:p>
    <w:p w14:paraId="1E9D2B18">
      <w:pPr>
        <w:spacing w:line="340" w:lineRule="exact"/>
        <w:ind w:right="-21" w:rightChars="-10"/>
        <w:rPr>
          <w:rFonts w:ascii="宋体" w:hAnsi="宋体" w:cs="Arial"/>
          <w:szCs w:val="21"/>
          <w:u w:val="single"/>
        </w:rPr>
      </w:pPr>
      <w:bookmarkStart w:id="0" w:name="_GoBack"/>
      <w:bookmarkEnd w:id="0"/>
    </w:p>
    <w:p w14:paraId="17DFCD3C">
      <w:pPr>
        <w:spacing w:line="340" w:lineRule="exact"/>
        <w:ind w:right="-21" w:rightChars="-10"/>
        <w:rPr>
          <w:rFonts w:ascii="宋体" w:hAnsi="宋体" w:cs="Arial"/>
          <w:szCs w:val="21"/>
          <w:u w:val="single"/>
        </w:rPr>
      </w:pPr>
    </w:p>
    <w:p w14:paraId="0C8DBAE4">
      <w:pPr>
        <w:pStyle w:val="2"/>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472CE058">
      <w:pPr>
        <w:pStyle w:val="2"/>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40457935">
      <w:pPr>
        <w:pStyle w:val="2"/>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0321064C">
      <w:pPr>
        <w:pStyle w:val="2"/>
        <w:spacing w:before="82"/>
        <w:ind w:left="4125" w:firstLine="440" w:firstLineChars="200"/>
      </w:pPr>
      <w:r>
        <w:rPr>
          <w:rFonts w:hint="eastAsia"/>
          <w:spacing w:val="-10"/>
          <w:sz w:val="24"/>
          <w:szCs w:val="24"/>
          <w:lang w:eastAsia="zh-CN"/>
        </w:rPr>
        <w:t>时          间 ：</w:t>
      </w:r>
    </w:p>
    <w:p w14:paraId="228B7937">
      <w:pPr>
        <w:spacing w:line="360" w:lineRule="auto"/>
        <w:ind w:right="-10" w:firstLine="3600" w:firstLineChars="1500"/>
        <w:jc w:val="both"/>
        <w:rPr>
          <w:rFonts w:ascii="宋体" w:hAnsi="宋体"/>
          <w:sz w:val="24"/>
        </w:rPr>
      </w:pPr>
    </w:p>
    <w:p w14:paraId="09C89939">
      <w:pPr>
        <w:pStyle w:val="2"/>
        <w:spacing w:before="82" w:line="240" w:lineRule="auto"/>
        <w:ind w:left="4125" w:firstLine="640" w:firstLineChars="200"/>
        <w:rPr>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F7D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22E4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B22E4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C01A7"/>
    <w:multiLevelType w:val="singleLevel"/>
    <w:tmpl w:val="C48C01A7"/>
    <w:lvl w:ilvl="0" w:tentative="0">
      <w:start w:val="1"/>
      <w:numFmt w:val="decimal"/>
      <w:suff w:val="nothing"/>
      <w:lvlText w:val="（%1）"/>
      <w:lvlJc w:val="left"/>
    </w:lvl>
  </w:abstractNum>
  <w:abstractNum w:abstractNumId="1">
    <w:nsid w:val="4AA92925"/>
    <w:multiLevelType w:val="singleLevel"/>
    <w:tmpl w:val="4AA9292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719975EC"/>
    <w:rsid w:val="090D555B"/>
    <w:rsid w:val="0B9F42A9"/>
    <w:rsid w:val="0DE75765"/>
    <w:rsid w:val="0FE13CDF"/>
    <w:rsid w:val="12677A95"/>
    <w:rsid w:val="1A6B1E12"/>
    <w:rsid w:val="1C2B790D"/>
    <w:rsid w:val="300D3DA1"/>
    <w:rsid w:val="32767059"/>
    <w:rsid w:val="39FE113C"/>
    <w:rsid w:val="3A6E37BE"/>
    <w:rsid w:val="3A712684"/>
    <w:rsid w:val="3EAD2631"/>
    <w:rsid w:val="49363FBB"/>
    <w:rsid w:val="495B436F"/>
    <w:rsid w:val="5FD97D94"/>
    <w:rsid w:val="600725DB"/>
    <w:rsid w:val="604D1DE8"/>
    <w:rsid w:val="610B4A82"/>
    <w:rsid w:val="68A16993"/>
    <w:rsid w:val="719975EC"/>
    <w:rsid w:val="751771AF"/>
    <w:rsid w:val="7AF479DB"/>
    <w:rsid w:val="7B424F78"/>
    <w:rsid w:val="7E4C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3"/>
      <w:szCs w:val="3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5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1148</Words>
  <Characters>1193</Characters>
  <Lines>0</Lines>
  <Paragraphs>0</Paragraphs>
  <TotalTime>1</TotalTime>
  <ScaleCrop>false</ScaleCrop>
  <LinksUpToDate>false</LinksUpToDate>
  <CharactersWithSpaces>1273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2024-06-25T02:40:00Z</dcterms:created>
  <dc:creator>胡</dc:creator>
  <cp:lastModifiedBy>郑听</cp:lastModifiedBy>
  <dcterms:modified xsi:type="dcterms:W3CDTF">2025-07-23T06:48:27Z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255F609B3FBE4B6BB09AA1AC0E6AE98C_13</vt:lpwstr>
  </property>
  <property fmtid="{D5CDD505-2E9C-101B-9397-08002B2CF9AE}" pid="4" name="KSOTemplateDocerSaveRecord">
    <vt:lpwstr>eyJoZGlkIjoiZTg4NTAxZGUyM2E2ZjBjZGUyZWI1NDFlN2U2ODlmOGIiLCJ1c2VySWQiOiIxNjk0OTYyNDQyIn0=</vt:lpwstr>
  </property>
</Properties>
</file>