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B28E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19A3F439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5CEDB914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2EDDDC03">
      <w:pPr>
        <w:pStyle w:val="10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3A02AC2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148877E7">
      <w:pPr>
        <w:pStyle w:val="10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营业执照复印件；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法人身份证复印件。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经办人身份证复印件和法人授权委托书（若是经办人需提供）。</w:t>
      </w:r>
    </w:p>
    <w:p w14:paraId="429346EF">
      <w:pPr>
        <w:pStyle w:val="10"/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投标人必须具备绿化养护业务(含绿化补种)的能力，具有绿化养护服务企业资质证书。</w:t>
      </w:r>
    </w:p>
    <w:p w14:paraId="7766C1D7">
      <w:pPr>
        <w:spacing w:line="360" w:lineRule="auto"/>
        <w:ind w:firstLine="420" w:firstLineChars="0"/>
        <w:jc w:val="left"/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④ 投标报价单，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报价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包含本次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种植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所需的一切费用，包括但不限于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植株费用、种植费、养护费、人工费、运输费、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工具费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税费等。</w:t>
      </w:r>
    </w:p>
    <w:p w14:paraId="4052EA55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 xml:space="preserve">⑤ </w:t>
      </w:r>
      <w:r>
        <w:rPr>
          <w:rFonts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投标人针对报价需要说明的其他文件和说明（如有）。</w:t>
      </w:r>
    </w:p>
    <w:p w14:paraId="566A342C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26070765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47AED6B5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6E0A4F82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项目地址：</w:t>
      </w:r>
    </w:p>
    <w:p w14:paraId="793849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温州医科大学附属第二医院龙湾院区（温州大道东段1111号）</w:t>
      </w:r>
    </w:p>
    <w:p w14:paraId="70CBB9AD">
      <w:pPr>
        <w:numPr>
          <w:ilvl w:val="0"/>
          <w:numId w:val="0"/>
        </w:numPr>
        <w:snapToGrid w:val="0"/>
        <w:spacing w:line="360" w:lineRule="auto"/>
        <w:ind w:leftChars="0" w:firstLine="480" w:firstLineChars="20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</w:p>
    <w:p w14:paraId="77B0E1D4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服务周期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：两年；自接到采购人通知后7个工作日内开始动工，15个工作日内完成。</w:t>
      </w:r>
    </w:p>
    <w:p w14:paraId="544EC001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  <w:lang w:val="en-US" w:eastAsia="zh-CN"/>
        </w:rPr>
        <w:t>项目具体需求：</w:t>
      </w:r>
    </w:p>
    <w:tbl>
      <w:tblPr>
        <w:tblStyle w:val="8"/>
        <w:tblpPr w:leftFromText="180" w:rightFromText="180" w:vertAnchor="text" w:horzAnchor="page" w:tblpXSpec="center" w:tblpY="456"/>
        <w:tblOverlap w:val="never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79"/>
        <w:gridCol w:w="2299"/>
        <w:gridCol w:w="571"/>
        <w:gridCol w:w="642"/>
        <w:gridCol w:w="1185"/>
        <w:gridCol w:w="914"/>
        <w:gridCol w:w="2879"/>
      </w:tblGrid>
      <w:tr w14:paraId="7A5A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 w14:paraId="20D5BD6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179" w:type="dxa"/>
            <w:vAlign w:val="center"/>
          </w:tcPr>
          <w:p w14:paraId="60C9FDC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2299" w:type="dxa"/>
            <w:vAlign w:val="center"/>
          </w:tcPr>
          <w:p w14:paraId="159BD62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规格</w:t>
            </w:r>
          </w:p>
        </w:tc>
        <w:tc>
          <w:tcPr>
            <w:tcW w:w="571" w:type="dxa"/>
            <w:vAlign w:val="center"/>
          </w:tcPr>
          <w:p w14:paraId="4B82B6E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642" w:type="dxa"/>
            <w:vAlign w:val="center"/>
          </w:tcPr>
          <w:p w14:paraId="119978D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1185" w:type="dxa"/>
            <w:vAlign w:val="center"/>
          </w:tcPr>
          <w:p w14:paraId="3BF8836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预算单价（元）</w:t>
            </w:r>
          </w:p>
        </w:tc>
        <w:tc>
          <w:tcPr>
            <w:tcW w:w="914" w:type="dxa"/>
            <w:vAlign w:val="center"/>
          </w:tcPr>
          <w:p w14:paraId="1D9CD7A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总价（元）</w:t>
            </w:r>
          </w:p>
        </w:tc>
        <w:tc>
          <w:tcPr>
            <w:tcW w:w="2879" w:type="dxa"/>
            <w:vAlign w:val="center"/>
          </w:tcPr>
          <w:p w14:paraId="3E9525A5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2629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29" w:type="dxa"/>
            <w:vAlign w:val="center"/>
          </w:tcPr>
          <w:p w14:paraId="6431EF2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79" w:type="dxa"/>
            <w:vAlign w:val="center"/>
          </w:tcPr>
          <w:p w14:paraId="79E0667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红粉佳人樱花</w:t>
            </w:r>
          </w:p>
        </w:tc>
        <w:tc>
          <w:tcPr>
            <w:tcW w:w="2299" w:type="dxa"/>
            <w:vAlign w:val="center"/>
          </w:tcPr>
          <w:p w14:paraId="7D90EB04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D10cm，H280-300cm，P180-200cm</w:t>
            </w:r>
          </w:p>
        </w:tc>
        <w:tc>
          <w:tcPr>
            <w:tcW w:w="571" w:type="dxa"/>
            <w:vAlign w:val="center"/>
          </w:tcPr>
          <w:p w14:paraId="6AC548A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642" w:type="dxa"/>
            <w:vAlign w:val="center"/>
          </w:tcPr>
          <w:p w14:paraId="461C7DD4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185" w:type="dxa"/>
            <w:vAlign w:val="center"/>
          </w:tcPr>
          <w:p w14:paraId="758C1E1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914" w:type="dxa"/>
            <w:vAlign w:val="center"/>
          </w:tcPr>
          <w:p w14:paraId="01EF3CA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42000</w:t>
            </w:r>
          </w:p>
        </w:tc>
        <w:tc>
          <w:tcPr>
            <w:tcW w:w="2879" w:type="dxa"/>
            <w:vAlign w:val="center"/>
          </w:tcPr>
          <w:p w14:paraId="58974C14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全枝全冠骨架饱满，树形优美；每棵树需要有四根木支撑。</w:t>
            </w:r>
          </w:p>
        </w:tc>
      </w:tr>
      <w:tr w14:paraId="49D2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629" w:type="dxa"/>
            <w:vAlign w:val="center"/>
          </w:tcPr>
          <w:p w14:paraId="2B04615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79" w:type="dxa"/>
            <w:vAlign w:val="center"/>
          </w:tcPr>
          <w:p w14:paraId="5021CA3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优质黄土</w:t>
            </w:r>
          </w:p>
        </w:tc>
        <w:tc>
          <w:tcPr>
            <w:tcW w:w="2299" w:type="dxa"/>
            <w:vAlign w:val="center"/>
          </w:tcPr>
          <w:p w14:paraId="2D8013C1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40L</w:t>
            </w:r>
          </w:p>
        </w:tc>
        <w:tc>
          <w:tcPr>
            <w:tcW w:w="571" w:type="dxa"/>
            <w:vAlign w:val="center"/>
          </w:tcPr>
          <w:p w14:paraId="739C0BC0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袋</w:t>
            </w:r>
          </w:p>
        </w:tc>
        <w:tc>
          <w:tcPr>
            <w:tcW w:w="642" w:type="dxa"/>
            <w:vAlign w:val="center"/>
          </w:tcPr>
          <w:p w14:paraId="38ED7F15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185" w:type="dxa"/>
            <w:vAlign w:val="center"/>
          </w:tcPr>
          <w:p w14:paraId="26947A81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914" w:type="dxa"/>
            <w:vAlign w:val="center"/>
          </w:tcPr>
          <w:p w14:paraId="2CFD773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2879" w:type="dxa"/>
            <w:vAlign w:val="center"/>
          </w:tcPr>
          <w:p w14:paraId="7BE32074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7275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629" w:type="dxa"/>
            <w:vAlign w:val="center"/>
          </w:tcPr>
          <w:p w14:paraId="7622ACD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79" w:type="dxa"/>
            <w:vAlign w:val="center"/>
          </w:tcPr>
          <w:p w14:paraId="067B0269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营养土</w:t>
            </w:r>
          </w:p>
        </w:tc>
        <w:tc>
          <w:tcPr>
            <w:tcW w:w="2299" w:type="dxa"/>
            <w:vAlign w:val="center"/>
          </w:tcPr>
          <w:p w14:paraId="6CF7344B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40L</w:t>
            </w:r>
          </w:p>
        </w:tc>
        <w:tc>
          <w:tcPr>
            <w:tcW w:w="571" w:type="dxa"/>
            <w:vAlign w:val="center"/>
          </w:tcPr>
          <w:p w14:paraId="4B11AC70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袋</w:t>
            </w:r>
          </w:p>
        </w:tc>
        <w:tc>
          <w:tcPr>
            <w:tcW w:w="642" w:type="dxa"/>
            <w:vAlign w:val="center"/>
          </w:tcPr>
          <w:p w14:paraId="6A4EC01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1185" w:type="dxa"/>
            <w:vAlign w:val="center"/>
          </w:tcPr>
          <w:p w14:paraId="2B948826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914" w:type="dxa"/>
            <w:vAlign w:val="center"/>
          </w:tcPr>
          <w:p w14:paraId="3644D6D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1800</w:t>
            </w:r>
          </w:p>
        </w:tc>
        <w:tc>
          <w:tcPr>
            <w:tcW w:w="2879" w:type="dxa"/>
            <w:vAlign w:val="center"/>
          </w:tcPr>
          <w:p w14:paraId="14F0A2F6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DF4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629" w:type="dxa"/>
            <w:vAlign w:val="center"/>
          </w:tcPr>
          <w:p w14:paraId="43E78C8B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79" w:type="dxa"/>
            <w:vAlign w:val="center"/>
          </w:tcPr>
          <w:p w14:paraId="6662D06B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营养液</w:t>
            </w:r>
          </w:p>
        </w:tc>
        <w:tc>
          <w:tcPr>
            <w:tcW w:w="2299" w:type="dxa"/>
            <w:vAlign w:val="center"/>
          </w:tcPr>
          <w:p w14:paraId="22861C0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500mL</w:t>
            </w:r>
          </w:p>
        </w:tc>
        <w:tc>
          <w:tcPr>
            <w:tcW w:w="571" w:type="dxa"/>
            <w:vAlign w:val="center"/>
          </w:tcPr>
          <w:p w14:paraId="0350744D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袋</w:t>
            </w:r>
          </w:p>
        </w:tc>
        <w:tc>
          <w:tcPr>
            <w:tcW w:w="642" w:type="dxa"/>
            <w:vAlign w:val="center"/>
          </w:tcPr>
          <w:p w14:paraId="1A7E58A1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185" w:type="dxa"/>
            <w:vAlign w:val="center"/>
          </w:tcPr>
          <w:p w14:paraId="5BCF4FE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14" w:type="dxa"/>
            <w:vAlign w:val="center"/>
          </w:tcPr>
          <w:p w14:paraId="11C509B0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1260</w:t>
            </w:r>
          </w:p>
        </w:tc>
        <w:tc>
          <w:tcPr>
            <w:tcW w:w="2879" w:type="dxa"/>
            <w:vAlign w:val="center"/>
          </w:tcPr>
          <w:p w14:paraId="1C3726A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AC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 w14:paraId="7A919E4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79" w:type="dxa"/>
            <w:vAlign w:val="center"/>
          </w:tcPr>
          <w:p w14:paraId="57CC31C1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樱花园介绍立牌</w:t>
            </w:r>
          </w:p>
        </w:tc>
        <w:tc>
          <w:tcPr>
            <w:tcW w:w="2299" w:type="dxa"/>
            <w:vAlign w:val="center"/>
          </w:tcPr>
          <w:p w14:paraId="2FACDA8F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1" w:type="dxa"/>
            <w:vAlign w:val="center"/>
          </w:tcPr>
          <w:p w14:paraId="3AA9AECD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642" w:type="dxa"/>
            <w:vAlign w:val="center"/>
          </w:tcPr>
          <w:p w14:paraId="7457A1AE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 w14:paraId="095E44E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14" w:type="dxa"/>
            <w:vAlign w:val="center"/>
          </w:tcPr>
          <w:p w14:paraId="587004C0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879" w:type="dxa"/>
            <w:vAlign w:val="center"/>
          </w:tcPr>
          <w:p w14:paraId="2660548C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1BF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 w14:paraId="15671C2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79" w:type="dxa"/>
            <w:vAlign w:val="center"/>
          </w:tcPr>
          <w:p w14:paraId="7061D2FB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人工费</w:t>
            </w:r>
          </w:p>
        </w:tc>
        <w:tc>
          <w:tcPr>
            <w:tcW w:w="2299" w:type="dxa"/>
            <w:vAlign w:val="center"/>
          </w:tcPr>
          <w:p w14:paraId="58D5874F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1" w:type="dxa"/>
            <w:vAlign w:val="center"/>
          </w:tcPr>
          <w:p w14:paraId="0B6629A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642" w:type="dxa"/>
            <w:vAlign w:val="center"/>
          </w:tcPr>
          <w:p w14:paraId="4EF9B9F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 w14:paraId="13309209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914" w:type="dxa"/>
            <w:vAlign w:val="center"/>
          </w:tcPr>
          <w:p w14:paraId="1649161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3000</w:t>
            </w:r>
          </w:p>
        </w:tc>
        <w:tc>
          <w:tcPr>
            <w:tcW w:w="2879" w:type="dxa"/>
            <w:vAlign w:val="center"/>
          </w:tcPr>
          <w:p w14:paraId="40D6312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该项为总的人工费用</w:t>
            </w:r>
          </w:p>
        </w:tc>
      </w:tr>
      <w:tr w14:paraId="1B97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 w14:paraId="4DFA39E2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179" w:type="dxa"/>
            <w:vAlign w:val="center"/>
          </w:tcPr>
          <w:p w14:paraId="1994298E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运输费</w:t>
            </w:r>
          </w:p>
        </w:tc>
        <w:tc>
          <w:tcPr>
            <w:tcW w:w="2299" w:type="dxa"/>
            <w:vAlign w:val="center"/>
          </w:tcPr>
          <w:p w14:paraId="75A6F22B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1" w:type="dxa"/>
            <w:vAlign w:val="center"/>
          </w:tcPr>
          <w:p w14:paraId="1B85036E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642" w:type="dxa"/>
            <w:vAlign w:val="center"/>
          </w:tcPr>
          <w:p w14:paraId="7053CB9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 w14:paraId="45F74AB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914" w:type="dxa"/>
            <w:vAlign w:val="center"/>
          </w:tcPr>
          <w:p w14:paraId="56626B8A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</w:t>
            </w:r>
          </w:p>
        </w:tc>
        <w:tc>
          <w:tcPr>
            <w:tcW w:w="2879" w:type="dxa"/>
            <w:vAlign w:val="center"/>
          </w:tcPr>
          <w:p w14:paraId="7AD10A9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该项为总的运输费用（含垃圾外运）</w:t>
            </w:r>
          </w:p>
        </w:tc>
      </w:tr>
      <w:tr w14:paraId="0818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vAlign w:val="center"/>
          </w:tcPr>
          <w:p w14:paraId="2011613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6100FDC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</w:t>
            </w:r>
          </w:p>
        </w:tc>
        <w:tc>
          <w:tcPr>
            <w:tcW w:w="2299" w:type="dxa"/>
            <w:vAlign w:val="center"/>
          </w:tcPr>
          <w:p w14:paraId="66CE088C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1" w:type="dxa"/>
            <w:vAlign w:val="center"/>
          </w:tcPr>
          <w:p w14:paraId="68CD1994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42" w:type="dxa"/>
            <w:vAlign w:val="center"/>
          </w:tcPr>
          <w:p w14:paraId="741C675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103886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 w14:paraId="657B0D92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49560</w:t>
            </w:r>
          </w:p>
        </w:tc>
        <w:tc>
          <w:tcPr>
            <w:tcW w:w="2879" w:type="dxa"/>
            <w:vAlign w:val="center"/>
          </w:tcPr>
          <w:p w14:paraId="398E3F74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C25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98" w:type="dxa"/>
            <w:gridSpan w:val="8"/>
            <w:vAlign w:val="center"/>
          </w:tcPr>
          <w:p w14:paraId="64511746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养护期为两年，期间包含植物整体美观性及植物保活率为100%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71955F6B">
      <w:pPr>
        <w:numPr>
          <w:ilvl w:val="0"/>
          <w:numId w:val="0"/>
        </w:numPr>
        <w:snapToGrid w:val="0"/>
        <w:spacing w:line="360" w:lineRule="auto"/>
        <w:ind w:leftChars="0"/>
        <w:jc w:val="both"/>
        <w:rPr>
          <w:rFonts w:hint="default"/>
          <w:b/>
          <w:bCs/>
          <w:sz w:val="24"/>
          <w:highlight w:val="none"/>
          <w:lang w:val="en-US" w:eastAsia="zh-CN"/>
        </w:rPr>
      </w:pPr>
    </w:p>
    <w:p w14:paraId="07DAF275">
      <w:pPr>
        <w:spacing w:line="360" w:lineRule="auto"/>
        <w:rPr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费用结算：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服务到期后并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开具对应数额的符合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财务要求的正式发票后，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在审批完成后7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个工作日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内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付款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。</w:t>
      </w:r>
    </w:p>
    <w:p w14:paraId="1ED31711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义务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 w14:paraId="7248AD3F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需为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履行本合同约定服务提供相应的配合，派人员协助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进行工作。</w:t>
      </w:r>
    </w:p>
    <w:p w14:paraId="0BC87495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应按合同约定向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支付服务费用。</w:t>
      </w:r>
    </w:p>
    <w:p w14:paraId="0BDB7634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义务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：</w:t>
      </w:r>
    </w:p>
    <w:p w14:paraId="1ED70B60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.1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应在约定的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期内完成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，如遇特殊情况无法完成的，应及时通知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，双方协商一致后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确定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期。</w:t>
      </w:r>
    </w:p>
    <w:p w14:paraId="62214F44">
      <w:pPr>
        <w:widowControl/>
        <w:numPr>
          <w:ilvl w:val="0"/>
          <w:numId w:val="0"/>
        </w:numPr>
        <w:tabs>
          <w:tab w:val="left" w:pos="142"/>
        </w:tabs>
        <w:spacing w:line="360" w:lineRule="auto"/>
        <w:ind w:leftChars="0" w:firstLine="240" w:firstLineChars="100"/>
        <w:jc w:val="left"/>
        <w:rPr>
          <w:rFonts w:hint="eastAsia" w:ascii="宋体" w:hAnsi="宋体" w:eastAsia="宋体" w:cs="宋体"/>
          <w:bCs/>
          <w:strike/>
          <w:dstrike w:val="0"/>
          <w:kern w:val="2"/>
          <w:sz w:val="24"/>
          <w:szCs w:val="24"/>
          <w:shd w:val="clear" w:color="auto" w:fill="auto"/>
          <w:lang w:bidi="ar-SA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.2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在进行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美化绿化补种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工作时应遵守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，如有争议应通知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相关人员解决，不得与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及第三方工作人员发生冲突。</w:t>
      </w:r>
    </w:p>
    <w:p w14:paraId="034680DC">
      <w:pPr>
        <w:numPr>
          <w:ilvl w:val="0"/>
          <w:numId w:val="0"/>
        </w:numPr>
        <w:tabs>
          <w:tab w:val="left" w:pos="142"/>
        </w:tabs>
        <w:spacing w:line="360" w:lineRule="auto"/>
        <w:ind w:firstLine="240" w:firstLineChars="100"/>
        <w:rPr>
          <w:rFonts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val="en-US" w:eastAsia="zh-CN"/>
        </w:rPr>
        <w:t>.3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美化绿化补种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过程中应注重安全文明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  <w:lang w:val="en-US" w:eastAsia="zh-CN"/>
        </w:rPr>
        <w:t>服务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，如因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原因导致其自身、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、第三方人身、财产损失的，由</w:t>
      </w:r>
      <w:r>
        <w:rPr>
          <w:rFonts w:hint="eastAsia" w:ascii="宋体" w:hAnsi="宋体" w:cs="宋体"/>
          <w:bCs/>
          <w:sz w:val="24"/>
          <w:szCs w:val="24"/>
          <w:shd w:val="clear" w:color="auto" w:fill="auto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  <w:shd w:val="clear" w:color="auto" w:fill="auto"/>
        </w:rPr>
        <w:t>承担所有责任。</w:t>
      </w:r>
    </w:p>
    <w:p w14:paraId="67CBB263">
      <w:pPr>
        <w:autoSpaceDE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违约责任</w:t>
      </w:r>
    </w:p>
    <w:p w14:paraId="330FC5E2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>除不可抗力因素外，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有下列情形之一的，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有权解除合同，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按照合同总金额的5%支付违约金，若违约金不足以抵付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损失的，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还应根据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实际经济损失补足差额。</w:t>
      </w:r>
    </w:p>
    <w:p w14:paraId="78B8BBD6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（1）拒绝履行合同义务，擅自解除合同的；</w:t>
      </w:r>
    </w:p>
    <w:p w14:paraId="79FA7389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因自身经营原因，无法继续履行合同，要求终止合同；</w:t>
      </w:r>
    </w:p>
    <w:p w14:paraId="540EC9A9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因经营服务无法达到招标响应技术要求或服务无法达到约定标准的，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有权要求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限期整改，逾期未整改或整改后仍未达到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要求的，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为完成整改要求而产生的支出费用由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承担。</w:t>
      </w:r>
    </w:p>
    <w:p w14:paraId="2DBAFF63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（4）未经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同意，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转包、分包合同事务，在承包区域内从事未经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认可的承包工作。</w:t>
      </w:r>
    </w:p>
    <w:p w14:paraId="7ED8D41D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出现重大管理不到位（如已影响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公众形象、声誉的），有多次投诉而得不到纠正的。</w:t>
      </w:r>
    </w:p>
    <w:p w14:paraId="2785BFD7">
      <w:pPr>
        <w:pStyle w:val="10"/>
        <w:spacing w:line="360" w:lineRule="auto"/>
        <w:ind w:left="240" w:firstLine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（6）合同约定的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可以解除合同的其他情形。</w:t>
      </w:r>
    </w:p>
    <w:p w14:paraId="4F09EED9">
      <w:pPr>
        <w:autoSpaceDE w:val="0"/>
        <w:spacing w:line="360" w:lineRule="auto"/>
        <w:ind w:firstLine="420" w:firstLineChars="0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因不可抗力因素造成本合同无法执行，任意一方可终止本合同，无需做出任何赔偿。经双方协商同意可终止部分或全部合同的，无须承担违约责任。</w:t>
      </w:r>
    </w:p>
    <w:p w14:paraId="384AF108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9235CDF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FAB5250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FCEC3E0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6B375A7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2D78827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01C7C095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AEFC51A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D9ECA2A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103CE4B5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5B9125F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龙湾院区樱花园种植服务报价单</w:t>
      </w:r>
    </w:p>
    <w:tbl>
      <w:tblPr>
        <w:tblStyle w:val="8"/>
        <w:tblpPr w:leftFromText="180" w:rightFromText="180" w:vertAnchor="text" w:horzAnchor="page" w:tblpXSpec="center" w:tblpY="456"/>
        <w:tblOverlap w:val="never"/>
        <w:tblW w:w="10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634"/>
        <w:gridCol w:w="2238"/>
        <w:gridCol w:w="676"/>
        <w:gridCol w:w="682"/>
        <w:gridCol w:w="988"/>
        <w:gridCol w:w="1023"/>
        <w:gridCol w:w="2789"/>
      </w:tblGrid>
      <w:tr w14:paraId="5620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287091B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634" w:type="dxa"/>
            <w:vAlign w:val="center"/>
          </w:tcPr>
          <w:p w14:paraId="6B01A2D3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2238" w:type="dxa"/>
            <w:vAlign w:val="center"/>
          </w:tcPr>
          <w:p w14:paraId="6EACEF7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规格</w:t>
            </w:r>
            <w:bookmarkStart w:id="0" w:name="_GoBack"/>
            <w:bookmarkEnd w:id="0"/>
          </w:p>
        </w:tc>
        <w:tc>
          <w:tcPr>
            <w:tcW w:w="676" w:type="dxa"/>
            <w:vAlign w:val="center"/>
          </w:tcPr>
          <w:p w14:paraId="0035B334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682" w:type="dxa"/>
            <w:vAlign w:val="center"/>
          </w:tcPr>
          <w:p w14:paraId="747B8410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988" w:type="dxa"/>
            <w:vAlign w:val="center"/>
          </w:tcPr>
          <w:p w14:paraId="48497718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023" w:type="dxa"/>
            <w:vAlign w:val="center"/>
          </w:tcPr>
          <w:p w14:paraId="521543B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小计（元）</w:t>
            </w:r>
          </w:p>
        </w:tc>
        <w:tc>
          <w:tcPr>
            <w:tcW w:w="2789" w:type="dxa"/>
            <w:vAlign w:val="center"/>
          </w:tcPr>
          <w:p w14:paraId="1001BB1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05CF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567" w:type="dxa"/>
            <w:vAlign w:val="center"/>
          </w:tcPr>
          <w:p w14:paraId="00434FCA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34" w:type="dxa"/>
            <w:vAlign w:val="center"/>
          </w:tcPr>
          <w:p w14:paraId="315B1F1C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红粉佳人樱花</w:t>
            </w:r>
          </w:p>
        </w:tc>
        <w:tc>
          <w:tcPr>
            <w:tcW w:w="2238" w:type="dxa"/>
            <w:vAlign w:val="center"/>
          </w:tcPr>
          <w:p w14:paraId="63C25C8A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D10cm，H280-300cm，P180-200cm</w:t>
            </w:r>
          </w:p>
        </w:tc>
        <w:tc>
          <w:tcPr>
            <w:tcW w:w="676" w:type="dxa"/>
            <w:vAlign w:val="center"/>
          </w:tcPr>
          <w:p w14:paraId="6BADD21D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株</w:t>
            </w:r>
          </w:p>
        </w:tc>
        <w:tc>
          <w:tcPr>
            <w:tcW w:w="682" w:type="dxa"/>
            <w:vAlign w:val="center"/>
          </w:tcPr>
          <w:p w14:paraId="53816E31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988" w:type="dxa"/>
            <w:vAlign w:val="center"/>
          </w:tcPr>
          <w:p w14:paraId="18301B73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12773C9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89" w:type="dxa"/>
            <w:vAlign w:val="center"/>
          </w:tcPr>
          <w:p w14:paraId="0165127A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全枝全冠骨架饱满，树形优美；每棵树需要有四根木支撑。</w:t>
            </w:r>
          </w:p>
        </w:tc>
      </w:tr>
      <w:tr w14:paraId="4976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67" w:type="dxa"/>
            <w:vAlign w:val="center"/>
          </w:tcPr>
          <w:p w14:paraId="6D13A3BC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34" w:type="dxa"/>
            <w:vAlign w:val="center"/>
          </w:tcPr>
          <w:p w14:paraId="453C092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优质黄土</w:t>
            </w:r>
          </w:p>
        </w:tc>
        <w:tc>
          <w:tcPr>
            <w:tcW w:w="2238" w:type="dxa"/>
            <w:vAlign w:val="center"/>
          </w:tcPr>
          <w:p w14:paraId="0C70852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40L</w:t>
            </w:r>
          </w:p>
        </w:tc>
        <w:tc>
          <w:tcPr>
            <w:tcW w:w="676" w:type="dxa"/>
            <w:vAlign w:val="center"/>
          </w:tcPr>
          <w:p w14:paraId="5BD89B2A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袋</w:t>
            </w:r>
          </w:p>
        </w:tc>
        <w:tc>
          <w:tcPr>
            <w:tcW w:w="682" w:type="dxa"/>
            <w:vAlign w:val="center"/>
          </w:tcPr>
          <w:p w14:paraId="7D00AB9A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988" w:type="dxa"/>
            <w:vAlign w:val="center"/>
          </w:tcPr>
          <w:p w14:paraId="5C27AA9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6F8BAA2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89" w:type="dxa"/>
            <w:vAlign w:val="center"/>
          </w:tcPr>
          <w:p w14:paraId="325FF52A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217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67" w:type="dxa"/>
            <w:vAlign w:val="center"/>
          </w:tcPr>
          <w:p w14:paraId="4844A77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34" w:type="dxa"/>
            <w:vAlign w:val="center"/>
          </w:tcPr>
          <w:p w14:paraId="5AD8917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营养土</w:t>
            </w:r>
          </w:p>
        </w:tc>
        <w:tc>
          <w:tcPr>
            <w:tcW w:w="2238" w:type="dxa"/>
            <w:vAlign w:val="center"/>
          </w:tcPr>
          <w:p w14:paraId="5D31290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40L</w:t>
            </w:r>
          </w:p>
        </w:tc>
        <w:tc>
          <w:tcPr>
            <w:tcW w:w="676" w:type="dxa"/>
            <w:vAlign w:val="center"/>
          </w:tcPr>
          <w:p w14:paraId="4CB64ABB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袋</w:t>
            </w:r>
          </w:p>
        </w:tc>
        <w:tc>
          <w:tcPr>
            <w:tcW w:w="682" w:type="dxa"/>
            <w:vAlign w:val="center"/>
          </w:tcPr>
          <w:p w14:paraId="24F60C39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988" w:type="dxa"/>
            <w:vAlign w:val="center"/>
          </w:tcPr>
          <w:p w14:paraId="446CB8E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5B730D5F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89" w:type="dxa"/>
            <w:vAlign w:val="center"/>
          </w:tcPr>
          <w:p w14:paraId="787D7285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EE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67" w:type="dxa"/>
            <w:vAlign w:val="center"/>
          </w:tcPr>
          <w:p w14:paraId="38FE261F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34" w:type="dxa"/>
            <w:vAlign w:val="center"/>
          </w:tcPr>
          <w:p w14:paraId="354749F9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营养液</w:t>
            </w:r>
          </w:p>
        </w:tc>
        <w:tc>
          <w:tcPr>
            <w:tcW w:w="2238" w:type="dxa"/>
            <w:vAlign w:val="center"/>
          </w:tcPr>
          <w:p w14:paraId="06E53EAB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500mL</w:t>
            </w:r>
          </w:p>
        </w:tc>
        <w:tc>
          <w:tcPr>
            <w:tcW w:w="676" w:type="dxa"/>
            <w:vAlign w:val="center"/>
          </w:tcPr>
          <w:p w14:paraId="730166BC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袋</w:t>
            </w:r>
          </w:p>
        </w:tc>
        <w:tc>
          <w:tcPr>
            <w:tcW w:w="682" w:type="dxa"/>
            <w:vAlign w:val="center"/>
          </w:tcPr>
          <w:p w14:paraId="6F75A2B4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988" w:type="dxa"/>
            <w:vAlign w:val="center"/>
          </w:tcPr>
          <w:p w14:paraId="75AB9BFB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043FA710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89" w:type="dxa"/>
            <w:vAlign w:val="center"/>
          </w:tcPr>
          <w:p w14:paraId="141EBE1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DF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5299A41E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34" w:type="dxa"/>
            <w:vAlign w:val="center"/>
          </w:tcPr>
          <w:p w14:paraId="2891A60E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樱花园介绍立牌</w:t>
            </w:r>
          </w:p>
        </w:tc>
        <w:tc>
          <w:tcPr>
            <w:tcW w:w="2238" w:type="dxa"/>
            <w:vAlign w:val="center"/>
          </w:tcPr>
          <w:p w14:paraId="79DFC34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6" w:type="dxa"/>
            <w:vAlign w:val="center"/>
          </w:tcPr>
          <w:p w14:paraId="70BD3FF1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682" w:type="dxa"/>
            <w:vAlign w:val="center"/>
          </w:tcPr>
          <w:p w14:paraId="1BE27C51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88" w:type="dxa"/>
            <w:vAlign w:val="center"/>
          </w:tcPr>
          <w:p w14:paraId="62625564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10787FE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89" w:type="dxa"/>
            <w:vAlign w:val="center"/>
          </w:tcPr>
          <w:p w14:paraId="6E3D727D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7A6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61FA6A8D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34" w:type="dxa"/>
            <w:vAlign w:val="center"/>
          </w:tcPr>
          <w:p w14:paraId="731CE7A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人工费</w:t>
            </w:r>
          </w:p>
        </w:tc>
        <w:tc>
          <w:tcPr>
            <w:tcW w:w="2238" w:type="dxa"/>
            <w:vAlign w:val="center"/>
          </w:tcPr>
          <w:p w14:paraId="672EA030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6" w:type="dxa"/>
            <w:vAlign w:val="center"/>
          </w:tcPr>
          <w:p w14:paraId="0EF080BE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682" w:type="dxa"/>
            <w:vAlign w:val="center"/>
          </w:tcPr>
          <w:p w14:paraId="2915949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88" w:type="dxa"/>
            <w:vAlign w:val="center"/>
          </w:tcPr>
          <w:p w14:paraId="59EC8F11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37AF493A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89" w:type="dxa"/>
            <w:vAlign w:val="center"/>
          </w:tcPr>
          <w:p w14:paraId="6736A0E1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该项为总的人工费用</w:t>
            </w:r>
          </w:p>
        </w:tc>
      </w:tr>
      <w:tr w14:paraId="529F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1C716E97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634" w:type="dxa"/>
            <w:vAlign w:val="center"/>
          </w:tcPr>
          <w:p w14:paraId="28E06B14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运输费</w:t>
            </w:r>
          </w:p>
        </w:tc>
        <w:tc>
          <w:tcPr>
            <w:tcW w:w="2238" w:type="dxa"/>
            <w:vAlign w:val="center"/>
          </w:tcPr>
          <w:p w14:paraId="06235578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6" w:type="dxa"/>
            <w:vAlign w:val="center"/>
          </w:tcPr>
          <w:p w14:paraId="78206DE7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</w:t>
            </w:r>
          </w:p>
        </w:tc>
        <w:tc>
          <w:tcPr>
            <w:tcW w:w="682" w:type="dxa"/>
            <w:vAlign w:val="center"/>
          </w:tcPr>
          <w:p w14:paraId="05667D06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88" w:type="dxa"/>
            <w:vAlign w:val="center"/>
          </w:tcPr>
          <w:p w14:paraId="47C71323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 w14:paraId="7331EE1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89" w:type="dxa"/>
            <w:vAlign w:val="center"/>
          </w:tcPr>
          <w:p w14:paraId="00815E69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该项为总的运输费用（含垃圾外运）</w:t>
            </w:r>
          </w:p>
        </w:tc>
      </w:tr>
      <w:tr w14:paraId="12BA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597" w:type="dxa"/>
            <w:gridSpan w:val="8"/>
            <w:vAlign w:val="center"/>
          </w:tcPr>
          <w:p w14:paraId="794F62E2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总计（小写）：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元</w:t>
            </w:r>
          </w:p>
        </w:tc>
      </w:tr>
      <w:tr w14:paraId="368E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597" w:type="dxa"/>
            <w:gridSpan w:val="8"/>
            <w:vAlign w:val="center"/>
          </w:tcPr>
          <w:p w14:paraId="2AE8E745">
            <w:pPr>
              <w:numPr>
                <w:ilvl w:val="0"/>
                <w:numId w:val="0"/>
              </w:numPr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总计（大写）：</w:t>
            </w:r>
          </w:p>
        </w:tc>
      </w:tr>
      <w:tr w14:paraId="4E28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7" w:type="dxa"/>
            <w:gridSpan w:val="8"/>
            <w:vAlign w:val="center"/>
          </w:tcPr>
          <w:p w14:paraId="36EFB5FB">
            <w:pPr>
              <w:numPr>
                <w:ilvl w:val="0"/>
                <w:numId w:val="0"/>
              </w:num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</w:rPr>
              <w:t>养护期为两年，期间包含植物整体美观性及植物保活率为100%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04814CF7">
      <w:pPr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 w14:paraId="22E9D078">
      <w:pPr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说明1：</w:t>
      </w:r>
      <w:r>
        <w:rPr>
          <w:rFonts w:hint="eastAsia" w:cs="Times New Roman"/>
          <w:sz w:val="24"/>
          <w:szCs w:val="24"/>
          <w:lang w:val="en-US" w:eastAsia="zh-CN"/>
        </w:rPr>
        <w:t>上述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报价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包含本次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种植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所需的一切费用，包括但不限于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植株费用、种植费、养护费、人工费、运输费、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工具费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税费等。</w:t>
      </w:r>
    </w:p>
    <w:p w14:paraId="59D5FBB5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说明2：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小写与大写的金额不一致以大写金额为准。 </w:t>
      </w:r>
    </w:p>
    <w:p w14:paraId="3E19AD4E">
      <w:pPr>
        <w:keepNext w:val="0"/>
        <w:keepLines w:val="0"/>
        <w:widowControl/>
        <w:suppressLineNumbers w:val="0"/>
        <w:jc w:val="left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说明3：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投标人已仔细研究了龙湾院区樱花园种植服务项目的情况说明，已充分理解并掌握了本询价项目的全部有关情况。同意接受并响应询价文件的全部内容和条件。</w:t>
      </w:r>
    </w:p>
    <w:p w14:paraId="47594876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说明4：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服务期限2年。自接到采购人通知后7个工作日内开始动工，15个工作日内完成。</w:t>
      </w:r>
    </w:p>
    <w:p w14:paraId="18AB6E50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▲说明5：报价不得高于各项预算单价。</w:t>
      </w:r>
    </w:p>
    <w:p w14:paraId="3189A62F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/>
          <w:bCs w:val="0"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▲说明6：不得更改报价单格式。</w:t>
      </w:r>
    </w:p>
    <w:p w14:paraId="22ECEBCB">
      <w:pPr>
        <w:pStyle w:val="3"/>
        <w:spacing w:before="82"/>
        <w:rPr>
          <w:spacing w:val="-5"/>
          <w:sz w:val="24"/>
          <w:szCs w:val="24"/>
        </w:rPr>
      </w:pPr>
    </w:p>
    <w:p w14:paraId="01B16800">
      <w:pPr>
        <w:pStyle w:val="3"/>
        <w:spacing w:before="82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428073AE">
      <w:pPr>
        <w:pStyle w:val="3"/>
        <w:spacing w:before="82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608345BC">
      <w:pPr>
        <w:pStyle w:val="3"/>
        <w:spacing w:before="82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</w:rPr>
        <w:t>：</w:t>
      </w:r>
    </w:p>
    <w:p w14:paraId="493702D0">
      <w:pPr>
        <w:pStyle w:val="3"/>
        <w:spacing w:before="82"/>
        <w:ind w:left="4125" w:firstLine="440" w:firstLineChars="200"/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8EC5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1440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1440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719975EC"/>
    <w:rsid w:val="04E0362B"/>
    <w:rsid w:val="0C921895"/>
    <w:rsid w:val="0EF36B52"/>
    <w:rsid w:val="0F5F3EF3"/>
    <w:rsid w:val="15056C87"/>
    <w:rsid w:val="17A80401"/>
    <w:rsid w:val="1B351FAC"/>
    <w:rsid w:val="1B5E08D6"/>
    <w:rsid w:val="1C03400A"/>
    <w:rsid w:val="1E2A32B0"/>
    <w:rsid w:val="22D05A6C"/>
    <w:rsid w:val="23254599"/>
    <w:rsid w:val="25360362"/>
    <w:rsid w:val="28883484"/>
    <w:rsid w:val="2B5577B7"/>
    <w:rsid w:val="32767059"/>
    <w:rsid w:val="39AD032E"/>
    <w:rsid w:val="3A712684"/>
    <w:rsid w:val="3E2D080A"/>
    <w:rsid w:val="3EB14B59"/>
    <w:rsid w:val="42267D6D"/>
    <w:rsid w:val="432A2BFA"/>
    <w:rsid w:val="43A84B07"/>
    <w:rsid w:val="48857526"/>
    <w:rsid w:val="49363FBB"/>
    <w:rsid w:val="495B436F"/>
    <w:rsid w:val="49D85334"/>
    <w:rsid w:val="5196714E"/>
    <w:rsid w:val="537C4988"/>
    <w:rsid w:val="57E002A2"/>
    <w:rsid w:val="5B4A6C51"/>
    <w:rsid w:val="5C6719B1"/>
    <w:rsid w:val="5F4131CD"/>
    <w:rsid w:val="604D1DE8"/>
    <w:rsid w:val="610B4A82"/>
    <w:rsid w:val="653103E3"/>
    <w:rsid w:val="69741ED2"/>
    <w:rsid w:val="6D1000FF"/>
    <w:rsid w:val="712A78F8"/>
    <w:rsid w:val="719975EC"/>
    <w:rsid w:val="71C13D9C"/>
    <w:rsid w:val="730F195D"/>
    <w:rsid w:val="7E0B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1730</Words>
  <Characters>1864</Characters>
  <Lines>0</Lines>
  <Paragraphs>0</Paragraphs>
  <TotalTime>4</TotalTime>
  <ScaleCrop>false</ScaleCrop>
  <LinksUpToDate>false</LinksUpToDate>
  <CharactersWithSpaces>1904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2025-05-15T00:59:19Z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C6DDDC5D37A64004AB26B7C1B410124A_13</vt:lpwstr>
  </property>
  <property fmtid="{D5CDD505-2E9C-101B-9397-08002B2CF9AE}" pid="4" name="KSOTemplateDocerSaveRecord">
    <vt:lpwstr>eyJoZGlkIjoiZTg4NTAxZGUyM2E2ZjBjZGUyZWI1NDFlN2U2ODlmOGIiLCJ1c2VySWQiOiI2MDA5Nzg1OTIifQ==</vt:lpwstr>
  </property>
</Properties>
</file>