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48844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28076F37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28AB260E">
      <w:pPr>
        <w:spacing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</w:rPr>
        <w:t>须知：</w:t>
      </w:r>
    </w:p>
    <w:p w14:paraId="41DFEB0B">
      <w:pPr>
        <w:pStyle w:val="10"/>
        <w:numPr>
          <w:ilvl w:val="255"/>
          <w:numId w:val="0"/>
        </w:numPr>
        <w:spacing w:line="360" w:lineRule="auto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需于截止日期前递交报价资料至后勤保障部，所有资料均需加盖企业公章，包括但不仅限于以下资料：</w:t>
      </w:r>
    </w:p>
    <w:p w14:paraId="3F407E86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1.投标资料1份（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）含以下内容：</w:t>
      </w:r>
    </w:p>
    <w:p w14:paraId="17AD6B6C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供应商营业执照</w:t>
      </w:r>
      <w:r>
        <w:rPr>
          <w:rFonts w:hint="eastAsia" w:ascii="宋体" w:hAnsi="宋体"/>
          <w:bCs/>
          <w:sz w:val="24"/>
          <w:highlight w:val="none"/>
          <w:lang w:eastAsia="zh-CN"/>
        </w:rPr>
        <w:t>。</w:t>
      </w:r>
    </w:p>
    <w:p w14:paraId="0C19A1C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法人身份证复印件。</w:t>
      </w:r>
    </w:p>
    <w:p w14:paraId="7E9EE82E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经办人身份证复印件和法人授权委托书（若是经办人需提供）。</w:t>
      </w:r>
    </w:p>
    <w:p w14:paraId="13E761D4">
      <w:pPr>
        <w:pStyle w:val="10"/>
        <w:numPr>
          <w:ilvl w:val="0"/>
          <w:numId w:val="1"/>
        </w:numPr>
        <w:spacing w:line="360" w:lineRule="auto"/>
        <w:ind w:firstLine="48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空调</w:t>
      </w:r>
      <w:r>
        <w:rPr>
          <w:rFonts w:ascii="宋体" w:hAnsi="宋体"/>
          <w:bCs/>
          <w:sz w:val="24"/>
        </w:rPr>
        <w:t>维修维保资质，具有本项目实施能力，能提供良好的技术支持和售后服务。</w:t>
      </w:r>
    </w:p>
    <w:p w14:paraId="10BCECA4">
      <w:pPr>
        <w:numPr>
          <w:ilvl w:val="0"/>
          <w:numId w:val="1"/>
        </w:numPr>
        <w:snapToGrid w:val="0"/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投标报价单，本次报价以综合单价投标，包括但不限于安装费、运输费、装卸费、税费、售后等。</w:t>
      </w:r>
    </w:p>
    <w:p w14:paraId="249D0BB5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2994604A">
      <w:pPr>
        <w:numPr>
          <w:ilvl w:val="255"/>
          <w:numId w:val="0"/>
        </w:numPr>
        <w:spacing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二、评标办法：本项目中标一家，低价为中标供应商。</w:t>
      </w:r>
    </w:p>
    <w:p w14:paraId="7A679E84">
      <w:pPr>
        <w:spacing w:line="360" w:lineRule="auto"/>
        <w:rPr>
          <w:rFonts w:ascii="宋体" w:hAnsi="宋体"/>
          <w:bCs/>
          <w:sz w:val="24"/>
        </w:rPr>
      </w:pPr>
    </w:p>
    <w:p w14:paraId="48C60E63">
      <w:pPr>
        <w:snapToGrid w:val="0"/>
        <w:spacing w:line="360" w:lineRule="auto"/>
        <w:jc w:val="left"/>
        <w:rPr>
          <w:b/>
          <w:bCs/>
          <w:sz w:val="24"/>
        </w:rPr>
      </w:pPr>
      <w:r>
        <w:rPr>
          <w:rFonts w:hint="eastAsia"/>
          <w:b/>
          <w:bCs/>
          <w:sz w:val="30"/>
          <w:szCs w:val="30"/>
        </w:rPr>
        <w:t>三、技术</w:t>
      </w:r>
      <w:r>
        <w:rPr>
          <w:rFonts w:hint="eastAsia"/>
          <w:b/>
          <w:bCs/>
          <w:sz w:val="32"/>
          <w:szCs w:val="32"/>
        </w:rPr>
        <w:t>规格及要求：</w:t>
      </w:r>
    </w:p>
    <w:p w14:paraId="4A5D19A0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项目地址：温州医科大学附属第二医院鹿城院区学院路（学院西路109号）</w:t>
      </w:r>
    </w:p>
    <w:p w14:paraId="01CEABD3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服务周期：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2个月。下单后</w:t>
      </w:r>
      <w:r>
        <w:rPr>
          <w:rFonts w:hint="eastAsia" w:ascii="宋体" w:hAnsi="宋体" w:cs="宋体"/>
          <w:sz w:val="24"/>
          <w:highlight w:val="none"/>
        </w:rPr>
        <w:t>10个工作日内完成。</w:t>
      </w:r>
    </w:p>
    <w:p w14:paraId="6758C1A4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项目具体需求：</w:t>
      </w:r>
    </w:p>
    <w:p w14:paraId="2FEF26C9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温州医科大学附属第二医院学院路部1号楼中央空调B机组2#号压缩机，品牌为富田。</w:t>
      </w:r>
    </w:p>
    <w:p w14:paraId="3899F3A9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压缩机线圈烧</w:t>
      </w:r>
      <w:bookmarkStart w:id="0" w:name="_GoBack"/>
      <w:bookmarkEnd w:id="0"/>
      <w:r>
        <w:rPr>
          <w:rFonts w:hint="eastAsia" w:ascii="宋体" w:hAnsi="宋体" w:cs="宋体"/>
          <w:sz w:val="24"/>
        </w:rPr>
        <w:t>毁，需进行更换维修服务，维修费用包含更换电机线圈等配件及相关耗材、</w:t>
      </w:r>
      <w:r>
        <w:rPr>
          <w:rFonts w:hint="eastAsia"/>
          <w:sz w:val="24"/>
        </w:rPr>
        <w:t>维修费、吊装运费、</w:t>
      </w:r>
      <w:r>
        <w:rPr>
          <w:rFonts w:hint="eastAsia" w:ascii="宋体" w:hAnsi="宋体" w:cs="宋体"/>
          <w:sz w:val="24"/>
        </w:rPr>
        <w:t>税费等本次维修所涉及的一切费用。</w:t>
      </w:r>
    </w:p>
    <w:p w14:paraId="57D762F2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维修后确保压缩机正常运行，维修产家提供检验合格证书，质保期不少于一年。</w:t>
      </w:r>
    </w:p>
    <w:p w14:paraId="769A80F4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本次维修服务限价30500元。</w:t>
      </w:r>
    </w:p>
    <w:p w14:paraId="001461F1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 w:cs="宋体"/>
          <w:sz w:val="24"/>
        </w:rPr>
        <w:t>供应商可现场勘查。</w:t>
      </w:r>
    </w:p>
    <w:p w14:paraId="299F3CCA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/>
          <w:bCs/>
          <w:sz w:val="24"/>
        </w:rPr>
        <w:t>本项目不允许转包或分包。</w:t>
      </w:r>
    </w:p>
    <w:p w14:paraId="04E55AAF">
      <w:pPr>
        <w:numPr>
          <w:ilvl w:val="0"/>
          <w:numId w:val="2"/>
        </w:numPr>
        <w:snapToGrid w:val="0"/>
        <w:spacing w:line="360" w:lineRule="auto"/>
        <w:jc w:val="left"/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合同签订后，服务商完成设备维修，经采购人确认验收合格、设备正常运行10天后，服务商开具实际维修金额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100%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的符合采购人财务要求的正式发票后，采购人在审批完成后30日内支付实际维修金额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。</w:t>
      </w:r>
    </w:p>
    <w:p w14:paraId="30746E2B">
      <w:pPr>
        <w:numPr>
          <w:ilvl w:val="0"/>
          <w:numId w:val="2"/>
        </w:numPr>
        <w:snapToGrid w:val="0"/>
        <w:spacing w:line="360" w:lineRule="auto"/>
        <w:jc w:val="left"/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eastAsia="zh-CN"/>
        </w:rPr>
      </w:pP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</w:rPr>
        <w:t>义务</w:t>
      </w: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eastAsia="zh-CN"/>
        </w:rPr>
        <w:t>：</w:t>
      </w:r>
    </w:p>
    <w:p w14:paraId="7EC07BBF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5.1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需保证服务期内，享有维修对象的所有权或已获得所有权人的相关合法授权，有权就上述维修对象及维修项目与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签订本合同，并且不会侵害任何第三方的合法权益。</w:t>
      </w:r>
    </w:p>
    <w:p w14:paraId="1C87914E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5.2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需为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履行本合同约定服务提供相应的配合，派人员协助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进行工作，帮助开门及协调水电使用，并协调物业等第三方进行配合。</w:t>
      </w:r>
    </w:p>
    <w:p w14:paraId="0C671AB3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5.3服务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完成后，由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向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提供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报告书，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应安排人员当场进行验收，验收合格对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维修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报告书进行盖章/签字确认，即视为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提供的服务表示认可。若因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原因导致未能及时验收的，则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提交作业报告书之日视为验收合格日。</w:t>
      </w:r>
    </w:p>
    <w:p w14:paraId="29341AE5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5.4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应按合同约定向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支付服务费用。</w:t>
      </w:r>
    </w:p>
    <w:p w14:paraId="668D0082">
      <w:pPr>
        <w:widowControl/>
        <w:numPr>
          <w:ilvl w:val="0"/>
          <w:numId w:val="2"/>
        </w:numPr>
        <w:tabs>
          <w:tab w:val="left" w:pos="142"/>
        </w:tabs>
        <w:snapToGrid/>
        <w:spacing w:beforeAutospacing="0" w:afterAutospacing="0" w:line="360" w:lineRule="auto"/>
        <w:ind w:left="425" w:leftChars="0" w:right="0" w:rightChars="0" w:hanging="425" w:firstLineChars="0"/>
        <w:jc w:val="left"/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eastAsia="zh-CN"/>
        </w:rPr>
      </w:pP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</w:rPr>
        <w:t>义务</w:t>
      </w:r>
      <w:r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eastAsia="zh-CN"/>
        </w:rPr>
        <w:t>：</w:t>
      </w:r>
    </w:p>
    <w:p w14:paraId="4538FF43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6.1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应在约定的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期内完成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，如遇特殊情况无法完成的，应及时通知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，双方协商一致后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再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确定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期。</w:t>
      </w:r>
    </w:p>
    <w:p w14:paraId="54B03C6C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6.2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在进行工作时应遵守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书面告知的各项管理制度及安全操作制度，如有争议应通知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相关人员解决，不得与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及第三方工作人员发生冲突。</w:t>
      </w:r>
    </w:p>
    <w:p w14:paraId="3D2E0E52">
      <w:pPr>
        <w:widowControl/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6.3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工作完成后，应及时清理维修过程中产生的垃圾，做到工完场清。</w:t>
      </w:r>
    </w:p>
    <w:p w14:paraId="09FB7BB3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6.4服务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shd w:val="clear" w:color="auto" w:fill="auto"/>
          <w:lang w:bidi="ar-SA"/>
        </w:rPr>
        <w:t>验收合格后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shd w:val="clear" w:color="auto" w:fill="auto"/>
          <w:lang w:val="en-US" w:eastAsia="zh-CN" w:bidi="ar-SA"/>
        </w:rPr>
        <w:t>12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shd w:val="clear" w:color="auto" w:fill="auto"/>
          <w:lang w:bidi="ar-SA"/>
        </w:rPr>
        <w:t>个月内，</w:t>
      </w:r>
      <w:r>
        <w:rPr>
          <w:rFonts w:hint="eastAsia" w:ascii="宋体" w:hAnsi="宋体" w:eastAsia="宋体" w:cs="宋体"/>
          <w:bCs/>
          <w:color w:val="auto"/>
          <w:kern w:val="2"/>
          <w:sz w:val="24"/>
          <w:szCs w:val="24"/>
          <w:highlight w:val="none"/>
          <w:shd w:val="clear" w:color="auto" w:fill="auto"/>
          <w:lang w:eastAsia="zh-CN" w:bidi="ar-SA"/>
        </w:rPr>
        <w:t>服务商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bidi="ar-SA"/>
        </w:rPr>
        <w:t>对所维修的内容及材料进行免费保修，由此产生的人工费、材料费、配件费等费用均由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eastAsia="zh-CN" w:bidi="ar-SA"/>
        </w:rPr>
        <w:t>服务商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bidi="ar-SA"/>
        </w:rPr>
        <w:t>承担。质保期内，如经维修，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eastAsia="zh-CN" w:bidi="ar-SA"/>
        </w:rPr>
        <w:t>服务商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bidi="ar-SA"/>
        </w:rPr>
        <w:t>所更换的设备、材料仍无法达到正常使用标准的，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eastAsia="zh-CN" w:bidi="ar-SA"/>
        </w:rPr>
        <w:t>服务商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shd w:val="clear" w:color="auto" w:fill="auto"/>
          <w:lang w:bidi="ar-SA"/>
        </w:rPr>
        <w:t>须进行无条件更换。</w:t>
      </w:r>
    </w:p>
    <w:p w14:paraId="6CB462C6">
      <w:pPr>
        <w:numPr>
          <w:ilvl w:val="0"/>
          <w:numId w:val="0"/>
        </w:numPr>
        <w:tabs>
          <w:tab w:val="left" w:pos="142"/>
        </w:tabs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ascii="宋体" w:hAnsi="宋体" w:eastAsia="宋体" w:cs="宋体"/>
          <w:sz w:val="24"/>
          <w:szCs w:val="21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  <w:lang w:val="en-US" w:eastAsia="zh-CN"/>
        </w:rPr>
        <w:t>6.5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  <w:lang w:eastAsia="zh-CN"/>
        </w:rPr>
        <w:t>服务商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</w:rPr>
        <w:t>在作业过程中应注重安全文明施工，如因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  <w:lang w:eastAsia="zh-CN"/>
        </w:rPr>
        <w:t>服务商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</w:rPr>
        <w:t>原因导致其自身、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  <w:lang w:eastAsia="zh-CN"/>
        </w:rPr>
        <w:t>采购人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</w:rPr>
        <w:t>、第三方人身、财产损失的，由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  <w:lang w:eastAsia="zh-CN"/>
        </w:rPr>
        <w:t>服务商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  <w:shd w:val="clear" w:color="auto" w:fill="auto"/>
        </w:rPr>
        <w:t>承担所有责任。</w:t>
      </w:r>
    </w:p>
    <w:p w14:paraId="09AEB573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 w:ascii="宋体" w:eastAsia="宋体" w:hAnsiTheme="majorEastAsia" w:cstheme="majorEastAsia"/>
          <w:b w:val="0"/>
          <w:bCs/>
          <w:sz w:val="24"/>
          <w:szCs w:val="24"/>
          <w:highlight w:val="none"/>
          <w:lang w:eastAsia="zh-CN"/>
        </w:rPr>
      </w:pPr>
    </w:p>
    <w:p w14:paraId="6664438E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维修清单：</w:t>
      </w:r>
    </w:p>
    <w:p w14:paraId="13047BA4">
      <w:pPr>
        <w:snapToGrid w:val="0"/>
        <w:spacing w:line="360" w:lineRule="auto"/>
        <w:jc w:val="center"/>
        <w:rPr>
          <w:b/>
          <w:bCs/>
          <w:spacing w:val="-10"/>
          <w:sz w:val="24"/>
        </w:rPr>
      </w:pPr>
      <w:r>
        <w:rPr>
          <w:rFonts w:hint="eastAsia"/>
          <w:b/>
          <w:bCs/>
          <w:sz w:val="24"/>
        </w:rPr>
        <w:t>鹿城院区富田压缩机更换线圈服务</w:t>
      </w:r>
    </w:p>
    <w:tbl>
      <w:tblPr>
        <w:tblStyle w:val="8"/>
        <w:tblW w:w="822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4"/>
        <w:gridCol w:w="1335"/>
        <w:gridCol w:w="1283"/>
        <w:gridCol w:w="1342"/>
        <w:gridCol w:w="1342"/>
      </w:tblGrid>
      <w:tr w14:paraId="79FF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right"/>
        </w:trPr>
        <w:tc>
          <w:tcPr>
            <w:tcW w:w="2924" w:type="dxa"/>
          </w:tcPr>
          <w:p w14:paraId="1CBB29D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项目内容</w:t>
            </w:r>
          </w:p>
        </w:tc>
        <w:tc>
          <w:tcPr>
            <w:tcW w:w="1335" w:type="dxa"/>
          </w:tcPr>
          <w:p w14:paraId="2E2F96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预算数量</w:t>
            </w:r>
          </w:p>
        </w:tc>
        <w:tc>
          <w:tcPr>
            <w:tcW w:w="1283" w:type="dxa"/>
          </w:tcPr>
          <w:p w14:paraId="2165C04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342" w:type="dxa"/>
          </w:tcPr>
          <w:p w14:paraId="40C3D81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1342" w:type="dxa"/>
          </w:tcPr>
          <w:p w14:paraId="7B8F914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预算价</w:t>
            </w:r>
          </w:p>
        </w:tc>
      </w:tr>
      <w:tr w14:paraId="079A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right"/>
        </w:trPr>
        <w:tc>
          <w:tcPr>
            <w:tcW w:w="2924" w:type="dxa"/>
          </w:tcPr>
          <w:p w14:paraId="1D1BBF0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压缩机线圈</w:t>
            </w:r>
          </w:p>
        </w:tc>
        <w:tc>
          <w:tcPr>
            <w:tcW w:w="1335" w:type="dxa"/>
          </w:tcPr>
          <w:p w14:paraId="438AE71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283" w:type="dxa"/>
          </w:tcPr>
          <w:p w14:paraId="79F46C0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342" w:type="dxa"/>
          </w:tcPr>
          <w:p w14:paraId="1B92082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2" w:type="dxa"/>
            <w:vMerge w:val="restart"/>
            <w:vAlign w:val="center"/>
          </w:tcPr>
          <w:p w14:paraId="111CD3D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30500</w:t>
            </w:r>
          </w:p>
        </w:tc>
      </w:tr>
      <w:tr w14:paraId="45C83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right"/>
        </w:trPr>
        <w:tc>
          <w:tcPr>
            <w:tcW w:w="2924" w:type="dxa"/>
          </w:tcPr>
          <w:p w14:paraId="171FDA8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维修费、吊装运费及辅材</w:t>
            </w:r>
          </w:p>
        </w:tc>
        <w:tc>
          <w:tcPr>
            <w:tcW w:w="1335" w:type="dxa"/>
          </w:tcPr>
          <w:p w14:paraId="4FD3B8D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83" w:type="dxa"/>
          </w:tcPr>
          <w:p w14:paraId="6FB66AF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342" w:type="dxa"/>
          </w:tcPr>
          <w:p w14:paraId="79999E4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2" w:type="dxa"/>
            <w:vMerge w:val="continue"/>
          </w:tcPr>
          <w:p w14:paraId="01D4C62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723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right"/>
        </w:trPr>
        <w:tc>
          <w:tcPr>
            <w:tcW w:w="2924" w:type="dxa"/>
          </w:tcPr>
          <w:p w14:paraId="4BDAB89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大写金额</w:t>
            </w:r>
          </w:p>
        </w:tc>
        <w:tc>
          <w:tcPr>
            <w:tcW w:w="5302" w:type="dxa"/>
            <w:gridSpan w:val="4"/>
          </w:tcPr>
          <w:p w14:paraId="69445EC1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叁万零伍佰</w:t>
            </w:r>
          </w:p>
        </w:tc>
      </w:tr>
    </w:tbl>
    <w:p w14:paraId="0F2BD3FD">
      <w:pPr>
        <w:numPr>
          <w:ilvl w:val="255"/>
          <w:numId w:val="0"/>
        </w:numPr>
        <w:spacing w:line="360" w:lineRule="auto"/>
        <w:rPr>
          <w:sz w:val="24"/>
        </w:rPr>
      </w:pPr>
    </w:p>
    <w:p w14:paraId="1FC447D8">
      <w:pPr>
        <w:numPr>
          <w:ilvl w:val="255"/>
          <w:numId w:val="0"/>
        </w:numPr>
        <w:spacing w:line="360" w:lineRule="auto"/>
        <w:rPr>
          <w:sz w:val="24"/>
        </w:rPr>
      </w:pPr>
    </w:p>
    <w:p w14:paraId="3B980C08">
      <w:pPr>
        <w:numPr>
          <w:ilvl w:val="255"/>
          <w:numId w:val="0"/>
        </w:numPr>
        <w:spacing w:line="360" w:lineRule="auto"/>
        <w:rPr>
          <w:sz w:val="24"/>
        </w:rPr>
      </w:pPr>
    </w:p>
    <w:p w14:paraId="7AA24105">
      <w:pPr>
        <w:numPr>
          <w:ilvl w:val="255"/>
          <w:numId w:val="0"/>
        </w:numPr>
        <w:spacing w:line="360" w:lineRule="auto"/>
        <w:rPr>
          <w:sz w:val="24"/>
        </w:rPr>
      </w:pPr>
    </w:p>
    <w:p w14:paraId="549352C1">
      <w:pPr>
        <w:numPr>
          <w:ilvl w:val="255"/>
          <w:numId w:val="0"/>
        </w:numPr>
        <w:spacing w:line="360" w:lineRule="auto"/>
        <w:rPr>
          <w:sz w:val="24"/>
        </w:rPr>
      </w:pPr>
    </w:p>
    <w:p w14:paraId="006D6541">
      <w:pPr>
        <w:numPr>
          <w:ilvl w:val="255"/>
          <w:numId w:val="0"/>
        </w:numPr>
        <w:spacing w:line="360" w:lineRule="auto"/>
        <w:rPr>
          <w:sz w:val="24"/>
        </w:rPr>
      </w:pPr>
    </w:p>
    <w:p w14:paraId="33BC3517">
      <w:pPr>
        <w:numPr>
          <w:ilvl w:val="255"/>
          <w:numId w:val="0"/>
        </w:numPr>
        <w:spacing w:line="360" w:lineRule="auto"/>
        <w:rPr>
          <w:sz w:val="24"/>
        </w:rPr>
      </w:pPr>
    </w:p>
    <w:p w14:paraId="065FBD94">
      <w:pPr>
        <w:numPr>
          <w:ilvl w:val="255"/>
          <w:numId w:val="0"/>
        </w:numPr>
        <w:spacing w:line="360" w:lineRule="auto"/>
        <w:rPr>
          <w:sz w:val="24"/>
        </w:rPr>
      </w:pPr>
    </w:p>
    <w:p w14:paraId="72AE1816">
      <w:pPr>
        <w:numPr>
          <w:ilvl w:val="255"/>
          <w:numId w:val="0"/>
        </w:numPr>
        <w:spacing w:line="360" w:lineRule="auto"/>
        <w:rPr>
          <w:sz w:val="24"/>
        </w:rPr>
      </w:pPr>
    </w:p>
    <w:p w14:paraId="00B99D9B">
      <w:pPr>
        <w:numPr>
          <w:ilvl w:val="255"/>
          <w:numId w:val="0"/>
        </w:numPr>
        <w:spacing w:line="360" w:lineRule="auto"/>
        <w:rPr>
          <w:sz w:val="24"/>
        </w:rPr>
      </w:pPr>
    </w:p>
    <w:p w14:paraId="30105CF2">
      <w:pPr>
        <w:numPr>
          <w:ilvl w:val="255"/>
          <w:numId w:val="0"/>
        </w:numPr>
        <w:spacing w:line="360" w:lineRule="auto"/>
        <w:rPr>
          <w:sz w:val="24"/>
        </w:rPr>
      </w:pPr>
    </w:p>
    <w:p w14:paraId="768C0AF2">
      <w:pPr>
        <w:numPr>
          <w:ilvl w:val="255"/>
          <w:numId w:val="0"/>
        </w:numPr>
        <w:spacing w:line="360" w:lineRule="auto"/>
        <w:rPr>
          <w:sz w:val="24"/>
        </w:rPr>
      </w:pPr>
    </w:p>
    <w:p w14:paraId="749505FC">
      <w:pPr>
        <w:numPr>
          <w:ilvl w:val="255"/>
          <w:numId w:val="0"/>
        </w:numPr>
        <w:spacing w:line="360" w:lineRule="auto"/>
        <w:rPr>
          <w:sz w:val="24"/>
        </w:rPr>
      </w:pPr>
    </w:p>
    <w:p w14:paraId="6E33F935">
      <w:pPr>
        <w:numPr>
          <w:ilvl w:val="255"/>
          <w:numId w:val="0"/>
        </w:numPr>
        <w:spacing w:line="360" w:lineRule="auto"/>
        <w:rPr>
          <w:sz w:val="24"/>
        </w:rPr>
      </w:pPr>
    </w:p>
    <w:p w14:paraId="1E0A0509">
      <w:pPr>
        <w:numPr>
          <w:ilvl w:val="255"/>
          <w:numId w:val="0"/>
        </w:numPr>
        <w:spacing w:line="360" w:lineRule="auto"/>
        <w:rPr>
          <w:sz w:val="24"/>
        </w:rPr>
      </w:pPr>
    </w:p>
    <w:p w14:paraId="3B0E67A8">
      <w:pPr>
        <w:numPr>
          <w:ilvl w:val="255"/>
          <w:numId w:val="0"/>
        </w:numPr>
        <w:spacing w:line="360" w:lineRule="auto"/>
        <w:rPr>
          <w:sz w:val="24"/>
        </w:rPr>
      </w:pPr>
    </w:p>
    <w:p w14:paraId="5464D083">
      <w:pPr>
        <w:numPr>
          <w:ilvl w:val="255"/>
          <w:numId w:val="0"/>
        </w:numPr>
        <w:spacing w:line="360" w:lineRule="auto"/>
        <w:rPr>
          <w:sz w:val="24"/>
        </w:rPr>
      </w:pPr>
    </w:p>
    <w:p w14:paraId="6F590214">
      <w:pPr>
        <w:numPr>
          <w:ilvl w:val="255"/>
          <w:numId w:val="0"/>
        </w:numPr>
        <w:spacing w:line="360" w:lineRule="auto"/>
        <w:rPr>
          <w:sz w:val="24"/>
        </w:rPr>
      </w:pPr>
    </w:p>
    <w:p w14:paraId="1CD59204">
      <w:pPr>
        <w:numPr>
          <w:ilvl w:val="255"/>
          <w:numId w:val="0"/>
        </w:numPr>
        <w:spacing w:line="360" w:lineRule="auto"/>
        <w:rPr>
          <w:sz w:val="24"/>
        </w:rPr>
      </w:pPr>
    </w:p>
    <w:p w14:paraId="0F5CB1EF">
      <w:pPr>
        <w:numPr>
          <w:ilvl w:val="255"/>
          <w:numId w:val="0"/>
        </w:numPr>
        <w:spacing w:line="360" w:lineRule="auto"/>
        <w:rPr>
          <w:sz w:val="24"/>
        </w:rPr>
      </w:pPr>
    </w:p>
    <w:p w14:paraId="4E21F020">
      <w:pPr>
        <w:numPr>
          <w:ilvl w:val="255"/>
          <w:numId w:val="0"/>
        </w:numPr>
        <w:spacing w:line="360" w:lineRule="auto"/>
        <w:rPr>
          <w:sz w:val="24"/>
        </w:rPr>
      </w:pPr>
    </w:p>
    <w:p w14:paraId="603A3D8D">
      <w:pPr>
        <w:numPr>
          <w:ilvl w:val="255"/>
          <w:numId w:val="0"/>
        </w:numPr>
        <w:spacing w:line="360" w:lineRule="auto"/>
        <w:rPr>
          <w:sz w:val="24"/>
        </w:rPr>
      </w:pPr>
    </w:p>
    <w:p w14:paraId="764B9932">
      <w:pPr>
        <w:numPr>
          <w:ilvl w:val="0"/>
          <w:numId w:val="4"/>
        </w:numPr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报价单</w:t>
      </w:r>
    </w:p>
    <w:p w14:paraId="09B77F49">
      <w:pPr>
        <w:spacing w:line="360" w:lineRule="auto"/>
        <w:rPr>
          <w:b/>
          <w:bCs/>
          <w:sz w:val="32"/>
          <w:szCs w:val="32"/>
        </w:rPr>
      </w:pPr>
    </w:p>
    <w:p w14:paraId="79DB8928">
      <w:pPr>
        <w:snapToGrid w:val="0"/>
        <w:spacing w:line="360" w:lineRule="auto"/>
        <w:jc w:val="center"/>
        <w:rPr>
          <w:b/>
          <w:bCs/>
          <w:spacing w:val="-10"/>
          <w:sz w:val="24"/>
        </w:rPr>
      </w:pPr>
      <w:r>
        <w:rPr>
          <w:rFonts w:hint="eastAsia"/>
          <w:b/>
          <w:bCs/>
          <w:sz w:val="24"/>
        </w:rPr>
        <w:t>鹿城院区富田压缩机更换线圈服务</w:t>
      </w:r>
    </w:p>
    <w:tbl>
      <w:tblPr>
        <w:tblStyle w:val="8"/>
        <w:tblW w:w="8226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4"/>
        <w:gridCol w:w="1335"/>
        <w:gridCol w:w="1283"/>
        <w:gridCol w:w="1342"/>
        <w:gridCol w:w="1342"/>
      </w:tblGrid>
      <w:tr w14:paraId="0E69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right"/>
        </w:trPr>
        <w:tc>
          <w:tcPr>
            <w:tcW w:w="2924" w:type="dxa"/>
          </w:tcPr>
          <w:p w14:paraId="328E508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项目内容</w:t>
            </w:r>
          </w:p>
        </w:tc>
        <w:tc>
          <w:tcPr>
            <w:tcW w:w="1335" w:type="dxa"/>
          </w:tcPr>
          <w:p w14:paraId="2DD1EF2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预算数量</w:t>
            </w:r>
          </w:p>
        </w:tc>
        <w:tc>
          <w:tcPr>
            <w:tcW w:w="1283" w:type="dxa"/>
          </w:tcPr>
          <w:p w14:paraId="7B1001A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342" w:type="dxa"/>
          </w:tcPr>
          <w:p w14:paraId="55CB808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价格（元）</w:t>
            </w:r>
          </w:p>
        </w:tc>
        <w:tc>
          <w:tcPr>
            <w:tcW w:w="1342" w:type="dxa"/>
          </w:tcPr>
          <w:p w14:paraId="14AB961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 w14:paraId="5513A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right"/>
        </w:trPr>
        <w:tc>
          <w:tcPr>
            <w:tcW w:w="2924" w:type="dxa"/>
          </w:tcPr>
          <w:p w14:paraId="6FB845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压缩机线圈</w:t>
            </w:r>
          </w:p>
        </w:tc>
        <w:tc>
          <w:tcPr>
            <w:tcW w:w="1335" w:type="dxa"/>
          </w:tcPr>
          <w:p w14:paraId="5219A7B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283" w:type="dxa"/>
          </w:tcPr>
          <w:p w14:paraId="5C0B5B3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</w:t>
            </w:r>
          </w:p>
        </w:tc>
        <w:tc>
          <w:tcPr>
            <w:tcW w:w="1342" w:type="dxa"/>
          </w:tcPr>
          <w:p w14:paraId="07ADE0A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2" w:type="dxa"/>
            <w:vMerge w:val="restart"/>
            <w:vAlign w:val="center"/>
          </w:tcPr>
          <w:p w14:paraId="396CB3B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544A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right"/>
        </w:trPr>
        <w:tc>
          <w:tcPr>
            <w:tcW w:w="2924" w:type="dxa"/>
          </w:tcPr>
          <w:p w14:paraId="0DD7BE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维修费、吊装运费及辅材</w:t>
            </w:r>
          </w:p>
        </w:tc>
        <w:tc>
          <w:tcPr>
            <w:tcW w:w="1335" w:type="dxa"/>
          </w:tcPr>
          <w:p w14:paraId="61FAB27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83" w:type="dxa"/>
          </w:tcPr>
          <w:p w14:paraId="6A7FE6F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1342" w:type="dxa"/>
          </w:tcPr>
          <w:p w14:paraId="1755B6A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42" w:type="dxa"/>
            <w:vMerge w:val="continue"/>
          </w:tcPr>
          <w:p w14:paraId="6F67F75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1A36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right"/>
        </w:trPr>
        <w:tc>
          <w:tcPr>
            <w:tcW w:w="2924" w:type="dxa"/>
          </w:tcPr>
          <w:p w14:paraId="1440B580">
            <w:pPr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合计金额（小写）</w:t>
            </w:r>
          </w:p>
        </w:tc>
        <w:tc>
          <w:tcPr>
            <w:tcW w:w="5302" w:type="dxa"/>
            <w:gridSpan w:val="4"/>
          </w:tcPr>
          <w:p w14:paraId="5F14DE3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13FB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right"/>
        </w:trPr>
        <w:tc>
          <w:tcPr>
            <w:tcW w:w="2924" w:type="dxa"/>
          </w:tcPr>
          <w:p w14:paraId="5FF25FB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合计金额（大写）</w:t>
            </w:r>
          </w:p>
        </w:tc>
        <w:tc>
          <w:tcPr>
            <w:tcW w:w="5302" w:type="dxa"/>
            <w:gridSpan w:val="4"/>
          </w:tcPr>
          <w:p w14:paraId="7249FFD3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22E9D078">
      <w:pPr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说明1：</w:t>
      </w:r>
      <w:r>
        <w:rPr>
          <w:rFonts w:hint="eastAsia" w:cs="Times New Roman"/>
          <w:sz w:val="24"/>
          <w:szCs w:val="24"/>
          <w:lang w:val="en-US" w:eastAsia="zh-CN"/>
        </w:rPr>
        <w:t>上述报价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包含</w:t>
      </w: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>完成鹿城院区富田压缩机更换线圈服务所需的一切费用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。</w:t>
      </w:r>
    </w:p>
    <w:p w14:paraId="59D5FBB5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说明2：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小写与大写的金额不一致以大写金额为准。 </w:t>
      </w:r>
    </w:p>
    <w:p w14:paraId="3E19AD4E">
      <w:pPr>
        <w:keepNext w:val="0"/>
        <w:keepLines w:val="0"/>
        <w:widowControl/>
        <w:suppressLineNumbers w:val="0"/>
        <w:jc w:val="left"/>
        <w:rPr>
          <w:rFonts w:hint="eastAsia" w:ascii="宋体" w:hAnsi="宋体" w:cs="Times New Roman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说明3：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投标人已仔细研究</w:t>
      </w:r>
      <w:r>
        <w:rPr>
          <w:rFonts w:hint="eastAsia" w:ascii="宋体" w:hAnsi="宋体" w:eastAsia="宋体" w:cs="Times New Roman"/>
          <w:bCs/>
          <w:sz w:val="24"/>
          <w:highlight w:val="none"/>
          <w:lang w:val="en-US" w:eastAsia="zh-CN"/>
        </w:rPr>
        <w:t>了鹿城院区富田压缩机更换线圈服务项目的情况说明，已充分理解并掌握了本询价项目的全部有关情况。同意接受并响</w:t>
      </w:r>
      <w:r>
        <w:rPr>
          <w:rFonts w:hint="eastAsia" w:ascii="宋体" w:hAnsi="宋体" w:cs="Times New Roman"/>
          <w:bCs/>
          <w:sz w:val="24"/>
          <w:highlight w:val="none"/>
          <w:lang w:val="en-US" w:eastAsia="zh-CN"/>
        </w:rPr>
        <w:t>应询价文件的全部内容和条件。</w:t>
      </w:r>
    </w:p>
    <w:p w14:paraId="47594876">
      <w:pPr>
        <w:pStyle w:val="3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说明4：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服务验收通过之日起质保12个月。</w:t>
      </w:r>
    </w:p>
    <w:p w14:paraId="582D1050">
      <w:pPr>
        <w:keepNext w:val="0"/>
        <w:keepLines w:val="0"/>
        <w:widowControl/>
        <w:suppressLineNumbers w:val="0"/>
        <w:jc w:val="left"/>
        <w:rPr>
          <w:rFonts w:ascii="Arial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▲说明5：</w:t>
      </w:r>
      <w:r>
        <w:rPr>
          <w:rFonts w:hint="eastAsia" w:ascii="宋体" w:hAnsi="宋体"/>
          <w:bCs/>
          <w:sz w:val="24"/>
          <w:lang w:val="en-US" w:eastAsia="zh-CN"/>
        </w:rPr>
        <w:t>报价总价不得高于30500元预算价。</w:t>
      </w:r>
    </w:p>
    <w:p w14:paraId="79563706">
      <w:pPr>
        <w:pStyle w:val="4"/>
        <w:spacing w:before="82"/>
        <w:ind w:firstLine="4600" w:firstLineChars="2000"/>
        <w:rPr>
          <w:spacing w:val="-5"/>
          <w:sz w:val="24"/>
          <w:szCs w:val="24"/>
        </w:rPr>
      </w:pPr>
    </w:p>
    <w:p w14:paraId="08C3B40C">
      <w:pPr>
        <w:pStyle w:val="4"/>
        <w:spacing w:before="82"/>
        <w:ind w:firstLine="4600" w:firstLineChars="20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22B6E73A">
      <w:pPr>
        <w:pStyle w:val="4"/>
        <w:spacing w:before="82"/>
        <w:ind w:left="4125" w:firstLine="460" w:firstLineChars="200"/>
        <w:rPr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手        机 ： </w:t>
      </w:r>
    </w:p>
    <w:p w14:paraId="34ABFE89">
      <w:pPr>
        <w:pStyle w:val="4"/>
        <w:spacing w:before="82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eastAsia="zh-CN"/>
        </w:rPr>
        <w:t xml:space="preserve">  （盖章）</w:t>
      </w:r>
      <w:r>
        <w:rPr>
          <w:spacing w:val="-10"/>
          <w:sz w:val="24"/>
          <w:szCs w:val="24"/>
        </w:rPr>
        <w:t>：</w:t>
      </w:r>
    </w:p>
    <w:p w14:paraId="29F077E8">
      <w:pPr>
        <w:pStyle w:val="4"/>
        <w:spacing w:before="82"/>
        <w:ind w:left="4125" w:firstLine="440" w:firstLineChars="200"/>
      </w:pPr>
      <w:r>
        <w:rPr>
          <w:rFonts w:hint="eastAsia"/>
          <w:spacing w:val="-10"/>
          <w:sz w:val="24"/>
          <w:szCs w:val="24"/>
          <w:lang w:eastAsia="zh-CN"/>
        </w:rPr>
        <w:t>时          间 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F540F">
    <w:pPr>
      <w:pStyle w:val="5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542A73A7"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2079E"/>
    <w:multiLevelType w:val="singleLevel"/>
    <w:tmpl w:val="BBB2079E"/>
    <w:lvl w:ilvl="0" w:tentative="0">
      <w:start w:val="1"/>
      <w:numFmt w:val="decimal"/>
      <w:suff w:val="nothing"/>
      <w:lvlText w:val="（%1）"/>
      <w:lvlJc w:val="left"/>
      <w:pPr>
        <w:ind w:left="210" w:firstLine="0"/>
      </w:pPr>
    </w:lvl>
  </w:abstractNum>
  <w:abstractNum w:abstractNumId="1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3918200"/>
    <w:multiLevelType w:val="singleLevel"/>
    <w:tmpl w:val="539182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3MjI4ZDc1YjFiMWM4MzA5ZGIwNWViNjc1OTQ0NDkifQ=="/>
  </w:docVars>
  <w:rsids>
    <w:rsidRoot w:val="708D5B7B"/>
    <w:rsid w:val="000F7C30"/>
    <w:rsid w:val="001B7F56"/>
    <w:rsid w:val="00325F7B"/>
    <w:rsid w:val="00365A87"/>
    <w:rsid w:val="003B7309"/>
    <w:rsid w:val="00404597"/>
    <w:rsid w:val="007C48B8"/>
    <w:rsid w:val="00800BF7"/>
    <w:rsid w:val="009C0D4C"/>
    <w:rsid w:val="00D665A8"/>
    <w:rsid w:val="00E562D0"/>
    <w:rsid w:val="00EB478B"/>
    <w:rsid w:val="1402480D"/>
    <w:rsid w:val="17AF722F"/>
    <w:rsid w:val="3071362F"/>
    <w:rsid w:val="33BB22A3"/>
    <w:rsid w:val="34B20343"/>
    <w:rsid w:val="3EA42E21"/>
    <w:rsid w:val="3EF93E29"/>
    <w:rsid w:val="44460EFF"/>
    <w:rsid w:val="53115DA1"/>
    <w:rsid w:val="56C21BD9"/>
    <w:rsid w:val="708D5B7B"/>
    <w:rsid w:val="730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semiHidden/>
    <w:qFormat/>
    <w:uiPriority w:val="0"/>
    <w:rPr>
      <w:rFonts w:ascii="宋体" w:hAnsi="宋体" w:cs="宋体"/>
      <w:sz w:val="33"/>
      <w:szCs w:val="33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页眉 Char"/>
    <w:basedOn w:val="9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1542</Words>
  <Characters>1584</Characters>
  <Lines>5</Lines>
  <Paragraphs>1</Paragraphs>
  <TotalTime>1</TotalTime>
  <ScaleCrop>false</ScaleCrop>
  <LinksUpToDate>false</LinksUpToDate>
  <CharactersWithSpaces>1615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2025-04-30T02:14:00Z</dcterms:created>
  <dc:creator>胡</dc:creator>
  <cp:lastModifiedBy>郑听</cp:lastModifiedBy>
  <dcterms:modified xsi:type="dcterms:W3CDTF">2025-05-05T00:05:54Z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048AA0370537447DA26643B5ABD522FF_13</vt:lpwstr>
  </property>
  <property fmtid="{D5CDD505-2E9C-101B-9397-08002B2CF9AE}" pid="4" name="KSOTemplateDocerSaveRecord">
    <vt:lpwstr>eyJoZGlkIjoiZTg4NTAxZGUyM2E2ZjBjZGUyZWI1NDFlN2U2ODlmOGIiLCJ1c2VySWQiOiI2MDA5Nzg1OTIifQ==</vt:lpwstr>
  </property>
</Properties>
</file>