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54196">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温州医科大学附属第二医院</w:t>
      </w:r>
    </w:p>
    <w:p w14:paraId="517E0BF4">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医院自行采购报价须知与技术规格要求</w:t>
      </w:r>
    </w:p>
    <w:p w14:paraId="1F3C06EA">
      <w:pPr>
        <w:spacing w:before="156" w:beforeLines="5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一、报价须知：</w:t>
      </w:r>
    </w:p>
    <w:p w14:paraId="32205360">
      <w:pPr>
        <w:pStyle w:val="8"/>
        <w:numPr>
          <w:ilvl w:val="255"/>
          <w:numId w:val="0"/>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需于截止日期前递交报价资料至后勤保障部，所有资料均需加盖企业公章，包括但不仅限于以下资料：</w:t>
      </w:r>
    </w:p>
    <w:p w14:paraId="5ABB36A3">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1.投标资料1份（密封加盖单位公章）含以下内容：</w:t>
      </w:r>
    </w:p>
    <w:p w14:paraId="17AD6B6C">
      <w:pPr>
        <w:numPr>
          <w:ilvl w:val="0"/>
          <w:numId w:val="1"/>
        </w:numPr>
        <w:spacing w:line="360" w:lineRule="auto"/>
        <w:ind w:firstLine="480" w:firstLineChars="200"/>
        <w:rPr>
          <w:rFonts w:ascii="宋体" w:hAnsi="宋体"/>
          <w:bCs/>
          <w:sz w:val="24"/>
          <w:highlight w:val="none"/>
        </w:rPr>
      </w:pPr>
      <w:r>
        <w:rPr>
          <w:rFonts w:hint="eastAsia" w:ascii="宋体" w:hAnsi="宋体"/>
          <w:bCs/>
          <w:sz w:val="24"/>
          <w:highlight w:val="none"/>
        </w:rPr>
        <w:t>供应商营业执照</w:t>
      </w:r>
      <w:r>
        <w:rPr>
          <w:rFonts w:hint="eastAsia" w:ascii="宋体" w:hAnsi="宋体"/>
          <w:bCs/>
          <w:sz w:val="24"/>
          <w:highlight w:val="none"/>
          <w:lang w:eastAsia="zh-CN"/>
        </w:rPr>
        <w:t>。</w:t>
      </w:r>
    </w:p>
    <w:p w14:paraId="0C19A1CD">
      <w:pPr>
        <w:numPr>
          <w:ilvl w:val="0"/>
          <w:numId w:val="1"/>
        </w:numPr>
        <w:spacing w:line="360" w:lineRule="auto"/>
        <w:ind w:left="0" w:leftChars="0" w:firstLine="480" w:firstLineChars="200"/>
        <w:rPr>
          <w:rFonts w:hint="eastAsia" w:ascii="宋体" w:hAnsi="宋体" w:cs="Times New Roman"/>
          <w:bCs/>
          <w:sz w:val="24"/>
          <w:highlight w:val="none"/>
        </w:rPr>
      </w:pPr>
      <w:r>
        <w:rPr>
          <w:rFonts w:hint="eastAsia" w:ascii="宋体" w:hAnsi="宋体" w:cs="Times New Roman"/>
          <w:bCs/>
          <w:sz w:val="24"/>
          <w:highlight w:val="none"/>
          <w:lang w:val="en-US" w:eastAsia="zh-CN"/>
        </w:rPr>
        <w:t>法人身份证复印件。</w:t>
      </w:r>
    </w:p>
    <w:p w14:paraId="7E9EE82E">
      <w:pPr>
        <w:numPr>
          <w:ilvl w:val="0"/>
          <w:numId w:val="1"/>
        </w:numPr>
        <w:spacing w:line="360" w:lineRule="auto"/>
        <w:ind w:left="0" w:leftChars="0" w:firstLine="480" w:firstLineChars="200"/>
        <w:rPr>
          <w:rFonts w:hint="eastAsia" w:ascii="宋体" w:hAnsi="宋体" w:cs="Times New Roman"/>
          <w:bCs/>
          <w:sz w:val="24"/>
          <w:highlight w:val="none"/>
          <w:lang w:val="en-US" w:eastAsia="zh-CN"/>
        </w:rPr>
      </w:pPr>
      <w:r>
        <w:rPr>
          <w:rFonts w:hint="eastAsia" w:ascii="宋体" w:hAnsi="宋体" w:cs="Times New Roman"/>
          <w:bCs/>
          <w:sz w:val="24"/>
          <w:highlight w:val="none"/>
          <w:lang w:val="en-US" w:eastAsia="zh-CN"/>
        </w:rPr>
        <w:t>经办人身份证复印件和法人授权委托书（若是经办人需提供）。</w:t>
      </w:r>
    </w:p>
    <w:p w14:paraId="1601963E">
      <w:pPr>
        <w:pStyle w:val="8"/>
        <w:numPr>
          <w:ilvl w:val="0"/>
          <w:numId w:val="1"/>
        </w:numPr>
        <w:spacing w:line="360" w:lineRule="auto"/>
        <w:ind w:firstLine="480"/>
        <w:rPr>
          <w:rFonts w:hint="eastAsia" w:ascii="宋体" w:hAnsi="宋体" w:eastAsia="宋体" w:cs="Times New Roman"/>
          <w:b/>
          <w:bCs w:val="0"/>
          <w:kern w:val="2"/>
          <w:sz w:val="24"/>
          <w:szCs w:val="24"/>
          <w:highlight w:val="none"/>
          <w:lang w:val="en-US" w:eastAsia="zh-CN" w:bidi="ar-SA"/>
        </w:rPr>
      </w:pPr>
      <w:r>
        <w:rPr>
          <w:rFonts w:hint="eastAsia" w:ascii="宋体" w:hAnsi="宋体" w:eastAsia="宋体" w:cs="Times New Roman"/>
          <w:b/>
          <w:bCs w:val="0"/>
          <w:kern w:val="2"/>
          <w:sz w:val="24"/>
          <w:szCs w:val="24"/>
          <w:highlight w:val="none"/>
          <w:lang w:val="en-US" w:eastAsia="zh-CN" w:bidi="ar-SA"/>
        </w:rPr>
        <w:t>投标人必须具有有效的检验检测机构资质认定证书（CMA证书）（必须包含集中空调通风系统检测资质）。</w:t>
      </w:r>
    </w:p>
    <w:p w14:paraId="18667D40">
      <w:pPr>
        <w:pStyle w:val="8"/>
        <w:numPr>
          <w:ilvl w:val="0"/>
          <w:numId w:val="1"/>
        </w:numPr>
        <w:spacing w:line="360" w:lineRule="auto"/>
        <w:ind w:firstLine="480"/>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报价单，本次采用综合单价报价，按实结算，包含本次检测所需的一切费用，包括但不限于检测费、工具费、税费等。</w:t>
      </w:r>
    </w:p>
    <w:p w14:paraId="69B1C346">
      <w:pPr>
        <w:numPr>
          <w:ilvl w:val="0"/>
          <w:numId w:val="1"/>
        </w:numPr>
        <w:spacing w:line="360" w:lineRule="auto"/>
        <w:ind w:firstLine="480" w:firstLineChars="200"/>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投标人针对报价需要说明的其</w:t>
      </w:r>
      <w:bookmarkStart w:id="0" w:name="_GoBack"/>
      <w:bookmarkEnd w:id="0"/>
      <w:r>
        <w:rPr>
          <w:rFonts w:hint="eastAsia" w:ascii="宋体" w:hAnsi="宋体" w:eastAsia="宋体" w:cs="Times New Roman"/>
          <w:bCs/>
          <w:kern w:val="2"/>
          <w:sz w:val="24"/>
          <w:szCs w:val="24"/>
          <w:highlight w:val="none"/>
          <w:lang w:val="en-US" w:eastAsia="zh-CN" w:bidi="ar-SA"/>
        </w:rPr>
        <w:t xml:space="preserve">他文件和说明（如有）。 </w:t>
      </w:r>
    </w:p>
    <w:p w14:paraId="1AAA79D0">
      <w:pPr>
        <w:numPr>
          <w:ilvl w:val="0"/>
          <w:numId w:val="0"/>
        </w:numPr>
        <w:bidi w:val="0"/>
        <w:spacing w:line="360" w:lineRule="auto"/>
        <w:ind w:leftChars="0"/>
        <w:rPr>
          <w:rFonts w:hint="eastAsia" w:ascii="宋体" w:hAnsi="宋体" w:eastAsia="宋体" w:cs="Times New Roman"/>
          <w:b/>
          <w:bCs w:val="0"/>
          <w:kern w:val="2"/>
          <w:sz w:val="24"/>
          <w:szCs w:val="24"/>
          <w:highlight w:val="none"/>
          <w:lang w:val="en-US" w:eastAsia="zh-CN" w:bidi="ar-SA"/>
        </w:rPr>
      </w:pPr>
      <w:r>
        <w:rPr>
          <w:rFonts w:hint="eastAsia" w:ascii="宋体" w:hAnsi="宋体" w:eastAsia="宋体" w:cs="Times New Roman"/>
          <w:b/>
          <w:bCs w:val="0"/>
          <w:kern w:val="2"/>
          <w:sz w:val="24"/>
          <w:szCs w:val="24"/>
          <w:highlight w:val="none"/>
          <w:lang w:val="en-US" w:eastAsia="zh-CN" w:bidi="ar-SA"/>
        </w:rPr>
        <w:t>注1：以上要求的材料须盖公章，以纸质版的形式提交。</w:t>
      </w:r>
    </w:p>
    <w:p w14:paraId="3786CB36">
      <w:pPr>
        <w:numPr>
          <w:ilvl w:val="0"/>
          <w:numId w:val="0"/>
        </w:numPr>
        <w:bidi w:val="0"/>
        <w:spacing w:line="360" w:lineRule="auto"/>
        <w:ind w:leftChars="0"/>
        <w:rPr>
          <w:rFonts w:hint="eastAsia" w:ascii="宋体" w:hAnsi="宋体" w:eastAsia="宋体" w:cs="Times New Roman"/>
          <w:b/>
          <w:bCs w:val="0"/>
          <w:kern w:val="2"/>
          <w:sz w:val="24"/>
          <w:szCs w:val="24"/>
          <w:highlight w:val="none"/>
          <w:lang w:val="en-US" w:eastAsia="zh-CN" w:bidi="ar-SA"/>
        </w:rPr>
      </w:pPr>
      <w:r>
        <w:rPr>
          <w:rFonts w:hint="eastAsia" w:ascii="宋体" w:hAnsi="宋体" w:eastAsia="宋体" w:cs="Times New Roman"/>
          <w:b/>
          <w:bCs w:val="0"/>
          <w:kern w:val="2"/>
          <w:sz w:val="24"/>
          <w:szCs w:val="24"/>
          <w:highlight w:val="none"/>
          <w:lang w:val="en-US" w:eastAsia="zh-CN" w:bidi="ar-SA"/>
        </w:rPr>
        <w:t>注2：投标文件的密封和标记：供应商应将投标文件包装密封，在投标文件封面备注项目名称、公司联系人及联系方式。</w:t>
      </w:r>
    </w:p>
    <w:p w14:paraId="7887928E">
      <w:pPr>
        <w:numPr>
          <w:ilvl w:val="0"/>
          <w:numId w:val="0"/>
        </w:numPr>
        <w:spacing w:line="360" w:lineRule="auto"/>
        <w:rPr>
          <w:rFonts w:hint="eastAsia" w:ascii="仿宋" w:hAnsi="仿宋" w:eastAsia="仿宋" w:cs="仿宋"/>
          <w:bCs/>
          <w:color w:val="auto"/>
          <w:sz w:val="24"/>
          <w:highlight w:val="none"/>
        </w:rPr>
      </w:pPr>
    </w:p>
    <w:p w14:paraId="4015955C">
      <w:pPr>
        <w:numPr>
          <w:ilvl w:val="255"/>
          <w:numId w:val="0"/>
        </w:numPr>
        <w:spacing w:before="156" w:beforeLines="5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二、评标办法：本项目中标一家，低价为中标供应商。</w:t>
      </w:r>
    </w:p>
    <w:p w14:paraId="73D2E8F7">
      <w:pPr>
        <w:spacing w:line="360" w:lineRule="auto"/>
        <w:rPr>
          <w:rFonts w:hint="eastAsia" w:ascii="仿宋" w:hAnsi="仿宋" w:eastAsia="仿宋" w:cs="仿宋"/>
          <w:bCs/>
          <w:color w:val="auto"/>
          <w:sz w:val="24"/>
          <w:highlight w:val="none"/>
        </w:rPr>
      </w:pPr>
    </w:p>
    <w:p w14:paraId="718E9BF8">
      <w:p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三、技术规格及要求：</w:t>
      </w:r>
    </w:p>
    <w:p w14:paraId="0EF1056C">
      <w:pPr>
        <w:numPr>
          <w:ilvl w:val="0"/>
          <w:numId w:val="2"/>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项目</w:t>
      </w:r>
      <w:r>
        <w:rPr>
          <w:rFonts w:hint="eastAsia" w:ascii="仿宋" w:hAnsi="仿宋" w:eastAsia="仿宋" w:cs="仿宋"/>
          <w:b/>
          <w:bCs/>
          <w:color w:val="auto"/>
          <w:sz w:val="24"/>
          <w:highlight w:val="none"/>
          <w:lang w:val="en-US" w:eastAsia="zh-CN"/>
        </w:rPr>
        <w:t>名称：</w:t>
      </w:r>
      <w:r>
        <w:rPr>
          <w:rFonts w:hint="eastAsia" w:ascii="仿宋" w:hAnsi="仿宋" w:eastAsia="仿宋" w:cs="仿宋"/>
          <w:color w:val="auto"/>
          <w:sz w:val="24"/>
          <w:highlight w:val="none"/>
        </w:rPr>
        <w:t>中央空调末端</w:t>
      </w:r>
      <w:r>
        <w:rPr>
          <w:rFonts w:hint="eastAsia" w:ascii="仿宋" w:hAnsi="仿宋" w:eastAsia="仿宋" w:cs="仿宋"/>
          <w:color w:val="auto"/>
          <w:sz w:val="24"/>
          <w:highlight w:val="none"/>
          <w:lang w:val="en-US" w:eastAsia="zh-CN"/>
        </w:rPr>
        <w:t>检测</w:t>
      </w:r>
      <w:r>
        <w:rPr>
          <w:rFonts w:hint="eastAsia" w:ascii="仿宋" w:hAnsi="仿宋" w:eastAsia="仿宋" w:cs="仿宋"/>
          <w:color w:val="auto"/>
          <w:sz w:val="24"/>
          <w:highlight w:val="none"/>
        </w:rPr>
        <w:t>服务</w:t>
      </w:r>
    </w:p>
    <w:p w14:paraId="13065401">
      <w:pPr>
        <w:numPr>
          <w:ilvl w:val="0"/>
          <w:numId w:val="2"/>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服务地点：</w:t>
      </w:r>
      <w:r>
        <w:rPr>
          <w:rFonts w:hint="eastAsia" w:ascii="仿宋" w:hAnsi="仿宋" w:eastAsia="仿宋" w:cs="仿宋"/>
          <w:color w:val="auto"/>
          <w:sz w:val="24"/>
          <w:highlight w:val="none"/>
        </w:rPr>
        <w:t>鹿城院区学院路部（学院西路109号）、鹿城院区南浦部（划龙桥路306号）、瓯江口院区（瓯石路666号）、龙湾院区（温州大道东段1111号）、龙湾院区康复医学中心（温州大道188号）、龙湾双创园（永强中学对面）。检测按院区按需执行。</w:t>
      </w:r>
    </w:p>
    <w:p w14:paraId="56F2FD78">
      <w:pPr>
        <w:numPr>
          <w:ilvl w:val="0"/>
          <w:numId w:val="2"/>
        </w:numPr>
        <w:snapToGrid w:val="0"/>
        <w:spacing w:line="360" w:lineRule="auto"/>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服务周期：</w:t>
      </w:r>
      <w:r>
        <w:rPr>
          <w:rFonts w:hint="eastAsia" w:ascii="仿宋" w:hAnsi="仿宋" w:eastAsia="仿宋" w:cs="仿宋"/>
          <w:b w:val="0"/>
          <w:bCs w:val="0"/>
          <w:color w:val="auto"/>
          <w:sz w:val="24"/>
          <w:highlight w:val="none"/>
        </w:rPr>
        <w:t>1年</w:t>
      </w:r>
      <w:r>
        <w:rPr>
          <w:rFonts w:hint="eastAsia" w:ascii="仿宋" w:hAnsi="仿宋" w:eastAsia="仿宋" w:cs="仿宋"/>
          <w:b/>
          <w:bCs/>
          <w:color w:val="auto"/>
          <w:sz w:val="24"/>
          <w:highlight w:val="none"/>
        </w:rPr>
        <w:t xml:space="preserve"> </w:t>
      </w:r>
    </w:p>
    <w:p w14:paraId="10284F09">
      <w:pPr>
        <w:numPr>
          <w:ilvl w:val="0"/>
          <w:numId w:val="2"/>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项目具体需求：</w:t>
      </w:r>
    </w:p>
    <w:p w14:paraId="7B4CBE85">
      <w:pPr>
        <w:numPr>
          <w:ilvl w:val="0"/>
          <w:numId w:val="3"/>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报价必须包括提供所有承包服务所需的完成本项目服务可能发生的各项指标检测项目所需的机械设备及人工、技术服务等、检测费、现场采样费、样品保存费、交通运输费、检验检测报告寄送费，备样寄送费等一切费用并承担一切风险责任。投标人应根据上述因素自行考虑含入总报价，否则由此而引起的一切费用均视为已包括在投标报价中。具体检测数量以采购实际需要为准，按实结算。</w:t>
      </w:r>
    </w:p>
    <w:p w14:paraId="34FA2248">
      <w:pPr>
        <w:numPr>
          <w:ilvl w:val="0"/>
          <w:numId w:val="3"/>
        </w:numPr>
        <w:snapToGrid w:val="0"/>
        <w:spacing w:line="360" w:lineRule="auto"/>
        <w:ind w:right="-512" w:rightChars="-244"/>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应在接到采购人通知后3个工作日内，组织安排好相关人员及车辆，车辆上配备车载冰箱或其他冷藏设施，完成采样。样品采集完成后应尽快送检，需4小时内送达检测实验室，以确保样品的时效性。</w:t>
      </w:r>
    </w:p>
    <w:p w14:paraId="23055281">
      <w:pPr>
        <w:numPr>
          <w:ilvl w:val="0"/>
          <w:numId w:val="3"/>
        </w:numPr>
        <w:snapToGrid w:val="0"/>
        <w:spacing w:line="360" w:lineRule="auto"/>
        <w:ind w:right="-512" w:rightChars="-244"/>
        <w:rPr>
          <w:rFonts w:hint="eastAsia" w:ascii="仿宋" w:hAnsi="仿宋" w:eastAsia="仿宋" w:cs="仿宋"/>
          <w:color w:val="auto"/>
          <w:sz w:val="24"/>
          <w:highlight w:val="none"/>
        </w:rPr>
      </w:pPr>
      <w:r>
        <w:rPr>
          <w:rFonts w:hint="eastAsia" w:ascii="仿宋" w:hAnsi="仿宋" w:eastAsia="仿宋" w:cs="仿宋"/>
          <w:color w:val="auto"/>
          <w:sz w:val="24"/>
          <w:highlight w:val="none"/>
        </w:rPr>
        <w:t>采样后20日内出具相应检测报告，检测报告集中寄送给采购人（电子版先发送），检测检验结论表明不合格的，中标供应商应当按照规定立即报告或者通报采购人。出具的检测报告应具有相关法律效力，并对检测结果做出科学分析，完成相应的数据汇总、总结报告等，报送给采购人。</w:t>
      </w:r>
    </w:p>
    <w:p w14:paraId="2F93C16C">
      <w:pPr>
        <w:numPr>
          <w:ilvl w:val="0"/>
          <w:numId w:val="3"/>
        </w:numPr>
        <w:snapToGrid w:val="0"/>
        <w:spacing w:line="360" w:lineRule="auto"/>
        <w:ind w:right="-512" w:rightChars="-244"/>
        <w:rPr>
          <w:rFonts w:hint="eastAsia" w:ascii="仿宋" w:hAnsi="仿宋" w:eastAsia="仿宋" w:cs="仿宋"/>
          <w:color w:val="auto"/>
          <w:sz w:val="24"/>
          <w:highlight w:val="none"/>
        </w:rPr>
      </w:pPr>
      <w:r>
        <w:rPr>
          <w:rFonts w:hint="eastAsia" w:ascii="仿宋" w:hAnsi="仿宋" w:eastAsia="仿宋" w:cs="仿宋"/>
          <w:color w:val="auto"/>
          <w:sz w:val="24"/>
          <w:highlight w:val="none"/>
        </w:rPr>
        <w:t>若需要复检的，供应商应配合复检机构完成复检，操作方式以采购人和复检机构的意见为主，并承担合理的备样寄送费用。若提交的报告经复检后，更改结果的，由中标供应商支付并承担相应的复检费用，并记一次不合格。</w:t>
      </w:r>
    </w:p>
    <w:p w14:paraId="41698B1C">
      <w:pPr>
        <w:numPr>
          <w:ilvl w:val="0"/>
          <w:numId w:val="3"/>
        </w:numPr>
        <w:snapToGrid w:val="0"/>
        <w:spacing w:line="360" w:lineRule="auto"/>
        <w:ind w:right="-512" w:rightChars="-244"/>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采购人有权查看检测相关的原始数据，采购人提出查看原始数据的，中标供应商需2天内提供原始数据供采购人查看，采购人也可到中标供应商实验室现场查看原始数据。</w:t>
      </w:r>
    </w:p>
    <w:p w14:paraId="7DE6E018">
      <w:pPr>
        <w:numPr>
          <w:ilvl w:val="0"/>
          <w:numId w:val="3"/>
        </w:numPr>
        <w:snapToGrid w:val="0"/>
        <w:spacing w:line="360" w:lineRule="auto"/>
        <w:ind w:right="-512" w:rightChars="-244"/>
        <w:rPr>
          <w:rFonts w:hint="eastAsia" w:ascii="仿宋" w:hAnsi="仿宋" w:eastAsia="仿宋" w:cs="仿宋"/>
          <w:color w:val="auto"/>
          <w:sz w:val="24"/>
          <w:highlight w:val="none"/>
        </w:rPr>
      </w:pPr>
      <w:r>
        <w:rPr>
          <w:rFonts w:hint="eastAsia" w:ascii="仿宋" w:hAnsi="仿宋" w:eastAsia="仿宋" w:cs="仿宋"/>
          <w:color w:val="auto"/>
          <w:sz w:val="24"/>
          <w:highlight w:val="none"/>
        </w:rPr>
        <w:t>如遇突发事件或临时性指令需要投标供应商配合的，投标供应商须全力配合，满足采购人的需求。</w:t>
      </w:r>
    </w:p>
    <w:p w14:paraId="17B6CA53">
      <w:pPr>
        <w:numPr>
          <w:ilvl w:val="0"/>
          <w:numId w:val="2"/>
        </w:numPr>
        <w:tabs>
          <w:tab w:val="left" w:pos="9135"/>
        </w:tabs>
        <w:spacing w:line="440" w:lineRule="exact"/>
        <w:rPr>
          <w:rFonts w:hint="eastAsia" w:ascii="仿宋" w:hAnsi="仿宋" w:eastAsia="仿宋" w:cs="仿宋"/>
          <w:b/>
          <w:bCs/>
          <w:color w:val="auto"/>
          <w:sz w:val="24"/>
          <w:highlight w:val="none"/>
          <w:shd w:val="clear" w:color="auto" w:fill="FFFFFF"/>
        </w:rPr>
      </w:pPr>
      <w:r>
        <w:rPr>
          <w:rFonts w:hint="eastAsia" w:ascii="仿宋" w:hAnsi="仿宋" w:eastAsia="仿宋" w:cs="仿宋"/>
          <w:b/>
          <w:bCs/>
          <w:color w:val="auto"/>
          <w:sz w:val="24"/>
          <w:highlight w:val="none"/>
          <w:shd w:val="clear" w:color="auto" w:fill="FFFFFF"/>
        </w:rPr>
        <w:t>其他要求</w:t>
      </w:r>
    </w:p>
    <w:p w14:paraId="02C3F366">
      <w:pPr>
        <w:pStyle w:val="4"/>
        <w:numPr>
          <w:ilvl w:val="0"/>
          <w:numId w:val="4"/>
        </w:numPr>
        <w:snapToGrid w:val="0"/>
        <w:spacing w:line="460" w:lineRule="exact"/>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对技术和质量规范</w:t>
      </w:r>
      <w:r>
        <w:rPr>
          <w:rFonts w:hint="eastAsia" w:ascii="仿宋" w:hAnsi="仿宋" w:eastAsia="仿宋" w:cs="仿宋"/>
          <w:color w:val="auto"/>
          <w:kern w:val="2"/>
          <w:sz w:val="24"/>
          <w:szCs w:val="24"/>
          <w:highlight w:val="none"/>
        </w:rPr>
        <w:t>要求包括但不限于以下标准：</w:t>
      </w:r>
    </w:p>
    <w:p w14:paraId="3200D792">
      <w:pPr>
        <w:numPr>
          <w:ilvl w:val="0"/>
          <w:numId w:val="5"/>
        </w:numPr>
        <w:snapToGrid w:val="0"/>
        <w:spacing w:before="120" w:after="120"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《公共场所集中空调通风系统卫生管理办法》；</w:t>
      </w:r>
    </w:p>
    <w:p w14:paraId="41CAB919">
      <w:pPr>
        <w:numPr>
          <w:ilvl w:val="0"/>
          <w:numId w:val="5"/>
        </w:numPr>
        <w:snapToGrid w:val="0"/>
        <w:spacing w:before="120" w:after="120"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《公共场所集中空调通风系统卫生规范》</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WS 10013-2023  ；</w:t>
      </w:r>
    </w:p>
    <w:p w14:paraId="247C3BCD">
      <w:pPr>
        <w:numPr>
          <w:ilvl w:val="0"/>
          <w:numId w:val="5"/>
        </w:numPr>
        <w:snapToGrid w:val="0"/>
        <w:spacing w:before="120" w:after="120"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《公共场所集中空调通风系统卫生学评价规范》</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WS/T 10004-2023 ；</w:t>
      </w:r>
    </w:p>
    <w:p w14:paraId="3244EE8C">
      <w:pPr>
        <w:numPr>
          <w:ilvl w:val="0"/>
          <w:numId w:val="5"/>
        </w:numPr>
        <w:snapToGrid w:val="0"/>
        <w:spacing w:before="120" w:after="120"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《公共场所集中空调通风系统清洗消毒规范》 WS/T 10005-2023；</w:t>
      </w:r>
    </w:p>
    <w:p w14:paraId="78D3D707">
      <w:pPr>
        <w:pStyle w:val="4"/>
        <w:numPr>
          <w:ilvl w:val="0"/>
          <w:numId w:val="5"/>
        </w:numPr>
        <w:snapToGri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其他相关的行业、地方单位的法规、规程、规定及要求。</w:t>
      </w:r>
    </w:p>
    <w:p w14:paraId="57C38D63">
      <w:pPr>
        <w:pStyle w:val="4"/>
        <w:snapToGrid w:val="0"/>
        <w:spacing w:line="460" w:lineRule="exact"/>
        <w:ind w:left="420" w:leftChars="200"/>
        <w:rPr>
          <w:rFonts w:hint="eastAsia" w:ascii="仿宋" w:hAnsi="仿宋" w:eastAsia="仿宋" w:cs="仿宋"/>
          <w:color w:val="auto"/>
          <w:sz w:val="24"/>
          <w:szCs w:val="24"/>
          <w:highlight w:val="none"/>
        </w:rPr>
      </w:pPr>
    </w:p>
    <w:p w14:paraId="5FDAF7B5">
      <w:pPr>
        <w:numPr>
          <w:ilvl w:val="0"/>
          <w:numId w:val="4"/>
        </w:numPr>
        <w:snapToGrid w:val="0"/>
        <w:spacing w:line="360" w:lineRule="auto"/>
        <w:ind w:right="-512" w:rightChars="-244"/>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承诺文明作业，在满足相关技术基准的情况下，尽量不影响采购人的正常工作，避开采购人工作时间，保持现场的整洁。</w:t>
      </w:r>
    </w:p>
    <w:p w14:paraId="44D1739E">
      <w:pPr>
        <w:snapToGrid w:val="0"/>
        <w:spacing w:line="360" w:lineRule="auto"/>
        <w:ind w:right="-512" w:rightChars="-244"/>
        <w:rPr>
          <w:rFonts w:hint="eastAsia" w:ascii="仿宋" w:hAnsi="仿宋" w:eastAsia="仿宋" w:cs="仿宋"/>
          <w:color w:val="auto"/>
          <w:sz w:val="24"/>
          <w:highlight w:val="none"/>
        </w:rPr>
      </w:pPr>
    </w:p>
    <w:p w14:paraId="432D939F">
      <w:pPr>
        <w:numPr>
          <w:ilvl w:val="0"/>
          <w:numId w:val="2"/>
        </w:num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检测具体内容</w:t>
      </w:r>
      <w:r>
        <w:rPr>
          <w:rFonts w:hint="eastAsia" w:ascii="仿宋" w:hAnsi="仿宋" w:eastAsia="仿宋" w:cs="仿宋"/>
          <w:color w:val="auto"/>
          <w:sz w:val="24"/>
          <w:highlight w:val="none"/>
        </w:rPr>
        <w:t>：</w:t>
      </w:r>
    </w:p>
    <w:tbl>
      <w:tblPr>
        <w:tblStyle w:val="5"/>
        <w:tblW w:w="887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36"/>
        <w:gridCol w:w="1215"/>
        <w:gridCol w:w="6420"/>
      </w:tblGrid>
      <w:tr w14:paraId="3F8EA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05" w:hRule="atLeast"/>
        </w:trPr>
        <w:tc>
          <w:tcPr>
            <w:tcW w:w="1236" w:type="dxa"/>
            <w:vMerge w:val="restart"/>
            <w:tcBorders>
              <w:left w:val="single" w:color="auto" w:sz="4" w:space="0"/>
              <w:right w:val="single" w:color="auto" w:sz="4" w:space="0"/>
            </w:tcBorders>
            <w:vAlign w:val="center"/>
          </w:tcPr>
          <w:p w14:paraId="291AE6CB">
            <w:pPr>
              <w:spacing w:line="400" w:lineRule="exact"/>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检测内容</w:t>
            </w:r>
          </w:p>
        </w:tc>
        <w:tc>
          <w:tcPr>
            <w:tcW w:w="1215" w:type="dxa"/>
            <w:tcBorders>
              <w:left w:val="single" w:color="auto" w:sz="4" w:space="0"/>
              <w:bottom w:val="single" w:color="auto" w:sz="4" w:space="0"/>
              <w:right w:val="single" w:color="auto" w:sz="4" w:space="0"/>
            </w:tcBorders>
            <w:vAlign w:val="center"/>
          </w:tcPr>
          <w:p w14:paraId="470EF114">
            <w:pPr>
              <w:jc w:val="center"/>
              <w:rPr>
                <w:rFonts w:hint="eastAsia" w:ascii="新宋体" w:hAnsi="新宋体" w:eastAsia="新宋体"/>
                <w:color w:val="auto"/>
                <w:sz w:val="22"/>
                <w:szCs w:val="22"/>
                <w:highlight w:val="none"/>
              </w:rPr>
            </w:pPr>
            <w:r>
              <w:rPr>
                <w:rFonts w:hint="eastAsia" w:ascii="仿宋_GB2312" w:cs="宋体"/>
                <w:color w:val="auto"/>
                <w:szCs w:val="21"/>
                <w:highlight w:val="none"/>
              </w:rPr>
              <w:t>风管内表面</w:t>
            </w:r>
          </w:p>
        </w:tc>
        <w:tc>
          <w:tcPr>
            <w:tcW w:w="6420" w:type="dxa"/>
            <w:tcBorders>
              <w:left w:val="single" w:color="auto" w:sz="4" w:space="0"/>
              <w:bottom w:val="single" w:color="auto" w:sz="4" w:space="0"/>
            </w:tcBorders>
            <w:vAlign w:val="center"/>
          </w:tcPr>
          <w:p w14:paraId="72B48F9B">
            <w:pPr>
              <w:rPr>
                <w:rFonts w:hint="eastAsia" w:ascii="新宋体" w:hAnsi="新宋体" w:eastAsia="新宋体"/>
                <w:color w:val="auto"/>
                <w:sz w:val="22"/>
                <w:szCs w:val="22"/>
                <w:highlight w:val="none"/>
              </w:rPr>
            </w:pPr>
            <w:r>
              <w:rPr>
                <w:rFonts w:hint="eastAsia" w:ascii="仿宋_GB2312" w:hAnsi="仿宋_GB2312"/>
                <w:color w:val="auto"/>
                <w:szCs w:val="21"/>
                <w:highlight w:val="none"/>
              </w:rPr>
              <w:t>积尘量、</w:t>
            </w:r>
            <w:r>
              <w:rPr>
                <w:rFonts w:hint="eastAsia" w:ascii="仿宋_GB2312" w:cs="宋体"/>
                <w:color w:val="auto"/>
                <w:szCs w:val="21"/>
                <w:highlight w:val="none"/>
              </w:rPr>
              <w:t>细菌</w:t>
            </w:r>
            <w:r>
              <w:rPr>
                <w:rFonts w:hint="eastAsia" w:ascii="仿宋_GB2312" w:cs="宋体"/>
                <w:color w:val="auto"/>
                <w:spacing w:val="-10"/>
                <w:szCs w:val="21"/>
                <w:highlight w:val="none"/>
              </w:rPr>
              <w:t>总数、真菌总数</w:t>
            </w:r>
          </w:p>
        </w:tc>
      </w:tr>
      <w:tr w14:paraId="109238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0" w:hRule="atLeast"/>
        </w:trPr>
        <w:tc>
          <w:tcPr>
            <w:tcW w:w="1236" w:type="dxa"/>
            <w:vMerge w:val="continue"/>
            <w:tcBorders>
              <w:left w:val="single" w:color="auto" w:sz="4" w:space="0"/>
              <w:right w:val="single" w:color="auto" w:sz="4" w:space="0"/>
            </w:tcBorders>
            <w:vAlign w:val="center"/>
          </w:tcPr>
          <w:p w14:paraId="7BA936CF">
            <w:pPr>
              <w:spacing w:line="400" w:lineRule="exact"/>
              <w:rPr>
                <w:rFonts w:hint="eastAsia" w:ascii="新宋体" w:hAnsi="新宋体" w:eastAsia="新宋体"/>
                <w:color w:val="auto"/>
                <w:sz w:val="22"/>
                <w:szCs w:val="22"/>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194C1384">
            <w:pPr>
              <w:jc w:val="center"/>
              <w:rPr>
                <w:rFonts w:hint="eastAsia" w:ascii="新宋体" w:hAnsi="新宋体" w:eastAsia="新宋体"/>
                <w:color w:val="auto"/>
                <w:sz w:val="22"/>
                <w:szCs w:val="22"/>
                <w:highlight w:val="none"/>
              </w:rPr>
            </w:pPr>
            <w:r>
              <w:rPr>
                <w:rFonts w:hint="eastAsia" w:ascii="仿宋_GB2312" w:cs="宋体"/>
                <w:color w:val="auto"/>
                <w:spacing w:val="-10"/>
                <w:szCs w:val="21"/>
                <w:highlight w:val="none"/>
              </w:rPr>
              <w:t>送风中</w:t>
            </w:r>
          </w:p>
        </w:tc>
        <w:tc>
          <w:tcPr>
            <w:tcW w:w="6420" w:type="dxa"/>
            <w:tcBorders>
              <w:top w:val="single" w:color="auto" w:sz="4" w:space="0"/>
              <w:left w:val="single" w:color="auto" w:sz="4" w:space="0"/>
              <w:bottom w:val="single" w:color="auto" w:sz="4" w:space="0"/>
            </w:tcBorders>
            <w:vAlign w:val="center"/>
          </w:tcPr>
          <w:p w14:paraId="2EEF1A94">
            <w:pPr>
              <w:rPr>
                <w:rFonts w:hint="eastAsia" w:ascii="新宋体" w:hAnsi="新宋体" w:eastAsia="新宋体"/>
                <w:color w:val="auto"/>
                <w:sz w:val="22"/>
                <w:szCs w:val="22"/>
                <w:highlight w:val="none"/>
              </w:rPr>
            </w:pPr>
            <w:r>
              <w:rPr>
                <w:rFonts w:hint="eastAsia" w:ascii="仿宋_GB2312" w:hAnsi="仿宋_GB2312"/>
                <w:color w:val="auto"/>
                <w:spacing w:val="-10"/>
                <w:szCs w:val="21"/>
                <w:highlight w:val="none"/>
              </w:rPr>
              <w:t>细菌总数、真菌总数、β-溶血性链球菌、可吸入颗粒物PM</w:t>
            </w:r>
            <w:r>
              <w:rPr>
                <w:rFonts w:hint="eastAsia" w:ascii="仿宋_GB2312" w:hAnsi="仿宋_GB2312"/>
                <w:color w:val="auto"/>
                <w:spacing w:val="-10"/>
                <w:szCs w:val="21"/>
                <w:highlight w:val="none"/>
                <w:vertAlign w:val="subscript"/>
              </w:rPr>
              <w:t>10</w:t>
            </w:r>
            <w:r>
              <w:rPr>
                <w:rFonts w:hint="eastAsia" w:ascii="仿宋_GB2312" w:hAnsi="仿宋_GB2312"/>
                <w:color w:val="auto"/>
                <w:spacing w:val="-10"/>
                <w:szCs w:val="21"/>
                <w:highlight w:val="none"/>
              </w:rPr>
              <w:t>、嗜肺军团菌</w:t>
            </w:r>
          </w:p>
        </w:tc>
      </w:tr>
      <w:tr w14:paraId="059B2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75" w:hRule="atLeast"/>
        </w:trPr>
        <w:tc>
          <w:tcPr>
            <w:tcW w:w="1236" w:type="dxa"/>
            <w:vMerge w:val="continue"/>
            <w:tcBorders>
              <w:left w:val="single" w:color="auto" w:sz="4" w:space="0"/>
              <w:right w:val="single" w:color="auto" w:sz="4" w:space="0"/>
            </w:tcBorders>
            <w:vAlign w:val="center"/>
          </w:tcPr>
          <w:p w14:paraId="5F440050">
            <w:pPr>
              <w:spacing w:line="400" w:lineRule="exact"/>
              <w:rPr>
                <w:rFonts w:hint="eastAsia" w:ascii="新宋体" w:hAnsi="新宋体" w:eastAsia="新宋体"/>
                <w:color w:val="auto"/>
                <w:sz w:val="22"/>
                <w:szCs w:val="22"/>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93F5722">
            <w:pPr>
              <w:jc w:val="center"/>
              <w:rPr>
                <w:rFonts w:hint="eastAsia" w:ascii="新宋体" w:hAnsi="新宋体" w:eastAsia="新宋体"/>
                <w:color w:val="auto"/>
                <w:sz w:val="22"/>
                <w:szCs w:val="22"/>
                <w:highlight w:val="none"/>
              </w:rPr>
            </w:pPr>
            <w:r>
              <w:rPr>
                <w:rFonts w:hint="eastAsia" w:ascii="仿宋_GB2312" w:cs="宋体"/>
                <w:color w:val="auto"/>
                <w:spacing w:val="-10"/>
                <w:szCs w:val="21"/>
                <w:highlight w:val="none"/>
              </w:rPr>
              <w:t>冷却水</w:t>
            </w:r>
          </w:p>
        </w:tc>
        <w:tc>
          <w:tcPr>
            <w:tcW w:w="6420" w:type="dxa"/>
            <w:tcBorders>
              <w:top w:val="single" w:color="auto" w:sz="4" w:space="0"/>
              <w:left w:val="single" w:color="auto" w:sz="4" w:space="0"/>
            </w:tcBorders>
            <w:vAlign w:val="center"/>
          </w:tcPr>
          <w:p w14:paraId="3F1A4C84">
            <w:pPr>
              <w:rPr>
                <w:rFonts w:hint="eastAsia" w:ascii="新宋体" w:hAnsi="新宋体" w:eastAsia="新宋体"/>
                <w:color w:val="auto"/>
                <w:sz w:val="22"/>
                <w:szCs w:val="22"/>
                <w:highlight w:val="none"/>
              </w:rPr>
            </w:pPr>
            <w:r>
              <w:rPr>
                <w:rFonts w:hint="eastAsia" w:ascii="仿宋_GB2312" w:hAnsi="仿宋_GB2312"/>
                <w:color w:val="auto"/>
                <w:spacing w:val="-10"/>
                <w:szCs w:val="21"/>
                <w:highlight w:val="none"/>
              </w:rPr>
              <w:t>嗜肺军团菌（根据</w:t>
            </w:r>
            <w:r>
              <w:rPr>
                <w:rFonts w:ascii="仿宋_GB2312" w:hAnsi="仿宋_GB2312"/>
                <w:color w:val="auto"/>
                <w:spacing w:val="-10"/>
                <w:szCs w:val="21"/>
                <w:highlight w:val="none"/>
              </w:rPr>
              <w:t>冷却塔数量检测</w:t>
            </w:r>
            <w:r>
              <w:rPr>
                <w:rFonts w:hint="eastAsia" w:ascii="仿宋_GB2312" w:hAnsi="仿宋_GB2312"/>
                <w:color w:val="auto"/>
                <w:spacing w:val="-10"/>
                <w:szCs w:val="21"/>
                <w:highlight w:val="none"/>
              </w:rPr>
              <w:t>，次数</w:t>
            </w:r>
            <w:r>
              <w:rPr>
                <w:rFonts w:ascii="仿宋_GB2312" w:hAnsi="仿宋_GB2312"/>
                <w:color w:val="auto"/>
                <w:spacing w:val="-10"/>
                <w:szCs w:val="21"/>
                <w:highlight w:val="none"/>
              </w:rPr>
              <w:t>少，不计入</w:t>
            </w:r>
            <w:r>
              <w:rPr>
                <w:rFonts w:hint="eastAsia" w:ascii="仿宋_GB2312" w:hAnsi="仿宋_GB2312"/>
                <w:color w:val="auto"/>
                <w:spacing w:val="-10"/>
                <w:szCs w:val="21"/>
                <w:highlight w:val="none"/>
              </w:rPr>
              <w:t>检测</w:t>
            </w:r>
            <w:r>
              <w:rPr>
                <w:rFonts w:ascii="仿宋_GB2312" w:hAnsi="仿宋_GB2312"/>
                <w:color w:val="auto"/>
                <w:spacing w:val="-10"/>
                <w:szCs w:val="21"/>
                <w:highlight w:val="none"/>
              </w:rPr>
              <w:t>单价</w:t>
            </w:r>
            <w:r>
              <w:rPr>
                <w:rFonts w:hint="eastAsia" w:ascii="仿宋_GB2312" w:hAnsi="仿宋_GB2312"/>
                <w:color w:val="auto"/>
                <w:spacing w:val="-10"/>
                <w:szCs w:val="21"/>
                <w:highlight w:val="none"/>
              </w:rPr>
              <w:t>）</w:t>
            </w:r>
          </w:p>
        </w:tc>
      </w:tr>
      <w:tr w14:paraId="259C9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9" w:hRule="atLeast"/>
        </w:trPr>
        <w:tc>
          <w:tcPr>
            <w:tcW w:w="1236" w:type="dxa"/>
            <w:vMerge w:val="continue"/>
            <w:tcBorders>
              <w:left w:val="single" w:color="auto" w:sz="4" w:space="0"/>
              <w:right w:val="single" w:color="auto" w:sz="4" w:space="0"/>
            </w:tcBorders>
            <w:vAlign w:val="center"/>
          </w:tcPr>
          <w:p w14:paraId="5A29A03E">
            <w:pPr>
              <w:spacing w:line="400" w:lineRule="exact"/>
              <w:rPr>
                <w:rFonts w:hint="eastAsia" w:ascii="新宋体" w:hAnsi="新宋体" w:eastAsia="新宋体"/>
                <w:color w:val="auto"/>
                <w:sz w:val="22"/>
                <w:szCs w:val="22"/>
                <w:highlight w:val="none"/>
              </w:rPr>
            </w:pPr>
          </w:p>
        </w:tc>
        <w:tc>
          <w:tcPr>
            <w:tcW w:w="1215" w:type="dxa"/>
            <w:tcBorders>
              <w:top w:val="single" w:color="auto" w:sz="4" w:space="0"/>
              <w:left w:val="single" w:color="auto" w:sz="4" w:space="0"/>
              <w:bottom w:val="single" w:color="auto" w:sz="4" w:space="0"/>
              <w:right w:val="single" w:color="auto" w:sz="4" w:space="0"/>
            </w:tcBorders>
            <w:vAlign w:val="center"/>
          </w:tcPr>
          <w:p w14:paraId="2D1A8A0E">
            <w:pPr>
              <w:jc w:val="center"/>
              <w:rPr>
                <w:rFonts w:hint="eastAsia" w:ascii="新宋体" w:hAnsi="新宋体" w:eastAsia="新宋体"/>
                <w:color w:val="auto"/>
                <w:sz w:val="22"/>
                <w:szCs w:val="22"/>
                <w:highlight w:val="none"/>
              </w:rPr>
            </w:pPr>
            <w:r>
              <w:rPr>
                <w:rFonts w:hint="eastAsia" w:ascii="仿宋_GB2312" w:cs="宋体"/>
                <w:color w:val="auto"/>
                <w:spacing w:val="-10"/>
                <w:szCs w:val="21"/>
                <w:highlight w:val="none"/>
              </w:rPr>
              <w:t>新风口</w:t>
            </w:r>
          </w:p>
        </w:tc>
        <w:tc>
          <w:tcPr>
            <w:tcW w:w="6420" w:type="dxa"/>
            <w:tcBorders>
              <w:left w:val="single" w:color="auto" w:sz="4" w:space="0"/>
            </w:tcBorders>
            <w:vAlign w:val="center"/>
          </w:tcPr>
          <w:p w14:paraId="54021819">
            <w:pPr>
              <w:rPr>
                <w:rFonts w:hint="eastAsia" w:ascii="新宋体" w:hAnsi="新宋体" w:eastAsia="新宋体"/>
                <w:color w:val="auto"/>
                <w:sz w:val="22"/>
                <w:szCs w:val="22"/>
                <w:highlight w:val="none"/>
              </w:rPr>
            </w:pPr>
            <w:r>
              <w:rPr>
                <w:rFonts w:hint="eastAsia" w:ascii="仿宋_GB2312" w:hAnsi="仿宋_GB2312"/>
                <w:color w:val="auto"/>
                <w:spacing w:val="-10"/>
                <w:szCs w:val="21"/>
                <w:highlight w:val="none"/>
              </w:rPr>
              <w:t>新风量</w:t>
            </w:r>
          </w:p>
        </w:tc>
      </w:tr>
    </w:tbl>
    <w:p w14:paraId="03A1B998">
      <w:pPr>
        <w:spacing w:line="360" w:lineRule="auto"/>
        <w:jc w:val="both"/>
        <w:rPr>
          <w:rFonts w:hint="eastAsia" w:ascii="仿宋" w:hAnsi="仿宋" w:eastAsia="仿宋" w:cs="仿宋"/>
          <w:b/>
          <w:bCs/>
          <w:color w:val="auto"/>
          <w:sz w:val="24"/>
          <w:highlight w:val="none"/>
        </w:rPr>
      </w:pPr>
    </w:p>
    <w:p w14:paraId="71BF683D">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温州医科大学附属第二医院中央空调末端</w:t>
      </w:r>
      <w:r>
        <w:rPr>
          <w:rFonts w:hint="eastAsia" w:ascii="仿宋" w:hAnsi="仿宋" w:eastAsia="仿宋" w:cs="仿宋"/>
          <w:b/>
          <w:bCs/>
          <w:color w:val="auto"/>
          <w:sz w:val="24"/>
          <w:highlight w:val="none"/>
          <w:lang w:val="en-US" w:eastAsia="zh-CN"/>
        </w:rPr>
        <w:t>检测</w:t>
      </w:r>
      <w:r>
        <w:rPr>
          <w:rFonts w:hint="eastAsia" w:ascii="仿宋" w:hAnsi="仿宋" w:eastAsia="仿宋" w:cs="仿宋"/>
          <w:b/>
          <w:bCs/>
          <w:color w:val="auto"/>
          <w:sz w:val="24"/>
          <w:highlight w:val="none"/>
        </w:rPr>
        <w:t>服务报价单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822"/>
        <w:gridCol w:w="705"/>
        <w:gridCol w:w="1335"/>
        <w:gridCol w:w="1035"/>
        <w:gridCol w:w="2666"/>
      </w:tblGrid>
      <w:tr w14:paraId="7907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14:paraId="0C8221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822" w:type="dxa"/>
            <w:vAlign w:val="center"/>
          </w:tcPr>
          <w:p w14:paraId="3D375EF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705" w:type="dxa"/>
            <w:vAlign w:val="center"/>
          </w:tcPr>
          <w:p w14:paraId="325084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335" w:type="dxa"/>
            <w:vAlign w:val="center"/>
          </w:tcPr>
          <w:p w14:paraId="133F416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预算单价</w:t>
            </w:r>
          </w:p>
        </w:tc>
        <w:tc>
          <w:tcPr>
            <w:tcW w:w="1035" w:type="dxa"/>
            <w:vAlign w:val="center"/>
          </w:tcPr>
          <w:p w14:paraId="24164B4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合价</w:t>
            </w:r>
          </w:p>
        </w:tc>
        <w:tc>
          <w:tcPr>
            <w:tcW w:w="2666" w:type="dxa"/>
            <w:vAlign w:val="center"/>
          </w:tcPr>
          <w:p w14:paraId="38CFCEB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需求</w:t>
            </w:r>
          </w:p>
        </w:tc>
      </w:tr>
      <w:tr w14:paraId="7DF7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959" w:type="dxa"/>
            <w:vAlign w:val="center"/>
          </w:tcPr>
          <w:p w14:paraId="37943DD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中央空调末端</w:t>
            </w:r>
            <w:r>
              <w:rPr>
                <w:rFonts w:hint="eastAsia" w:ascii="仿宋" w:hAnsi="仿宋" w:eastAsia="仿宋" w:cs="仿宋"/>
                <w:color w:val="auto"/>
                <w:sz w:val="24"/>
                <w:highlight w:val="none"/>
                <w:lang w:val="en-US" w:eastAsia="zh-CN"/>
              </w:rPr>
              <w:t>检测</w:t>
            </w:r>
            <w:r>
              <w:rPr>
                <w:rFonts w:hint="eastAsia" w:ascii="仿宋" w:hAnsi="仿宋" w:eastAsia="仿宋" w:cs="仿宋"/>
                <w:color w:val="auto"/>
                <w:sz w:val="24"/>
                <w:highlight w:val="none"/>
              </w:rPr>
              <w:t>服务</w:t>
            </w:r>
          </w:p>
        </w:tc>
        <w:tc>
          <w:tcPr>
            <w:tcW w:w="822" w:type="dxa"/>
            <w:vAlign w:val="center"/>
          </w:tcPr>
          <w:p w14:paraId="56C2B72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60</w:t>
            </w:r>
          </w:p>
        </w:tc>
        <w:tc>
          <w:tcPr>
            <w:tcW w:w="705" w:type="dxa"/>
            <w:vAlign w:val="center"/>
          </w:tcPr>
          <w:p w14:paraId="5E97ACE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点位</w:t>
            </w:r>
          </w:p>
        </w:tc>
        <w:tc>
          <w:tcPr>
            <w:tcW w:w="1335" w:type="dxa"/>
            <w:vAlign w:val="center"/>
          </w:tcPr>
          <w:p w14:paraId="313B73D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820</w:t>
            </w:r>
          </w:p>
        </w:tc>
        <w:tc>
          <w:tcPr>
            <w:tcW w:w="1035" w:type="dxa"/>
            <w:vAlign w:val="center"/>
          </w:tcPr>
          <w:p w14:paraId="5D93070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49200</w:t>
            </w:r>
          </w:p>
        </w:tc>
        <w:tc>
          <w:tcPr>
            <w:tcW w:w="2666" w:type="dxa"/>
            <w:vAlign w:val="center"/>
          </w:tcPr>
          <w:p w14:paraId="0C969F2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对检查点位进行检测并出具检测报告</w:t>
            </w:r>
          </w:p>
        </w:tc>
      </w:tr>
      <w:tr w14:paraId="2A7C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959" w:type="dxa"/>
            <w:vAlign w:val="center"/>
          </w:tcPr>
          <w:p w14:paraId="2D585AE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预算总金额：</w:t>
            </w:r>
          </w:p>
        </w:tc>
        <w:tc>
          <w:tcPr>
            <w:tcW w:w="6563" w:type="dxa"/>
            <w:gridSpan w:val="5"/>
            <w:vAlign w:val="center"/>
          </w:tcPr>
          <w:p w14:paraId="2AC7C13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49200元</w:t>
            </w:r>
          </w:p>
        </w:tc>
      </w:tr>
      <w:tr w14:paraId="6EFA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959" w:type="dxa"/>
            <w:vAlign w:val="center"/>
          </w:tcPr>
          <w:p w14:paraId="587BD6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大写金额：</w:t>
            </w:r>
          </w:p>
        </w:tc>
        <w:tc>
          <w:tcPr>
            <w:tcW w:w="6563" w:type="dxa"/>
            <w:gridSpan w:val="5"/>
            <w:vAlign w:val="center"/>
          </w:tcPr>
          <w:p w14:paraId="2A0F6BB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肆万玖仟贰佰元整</w:t>
            </w:r>
          </w:p>
        </w:tc>
      </w:tr>
      <w:tr w14:paraId="2017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522" w:type="dxa"/>
            <w:gridSpan w:val="6"/>
            <w:vAlign w:val="center"/>
          </w:tcPr>
          <w:p w14:paraId="275860F2">
            <w:pPr>
              <w:spacing w:line="360" w:lineRule="auto"/>
              <w:jc w:val="left"/>
              <w:rPr>
                <w:rFonts w:hint="eastAsia" w:ascii="仿宋" w:hAnsi="仿宋" w:eastAsia="仿宋" w:cs="仿宋"/>
                <w:bCs/>
                <w:color w:val="auto"/>
                <w:sz w:val="24"/>
                <w:highlight w:val="none"/>
              </w:rPr>
            </w:pPr>
            <w:r>
              <w:rPr>
                <w:rFonts w:hint="eastAsia" w:ascii="仿宋" w:hAnsi="仿宋" w:eastAsia="仿宋" w:cs="仿宋"/>
                <w:color w:val="auto"/>
                <w:sz w:val="24"/>
                <w:highlight w:val="none"/>
              </w:rPr>
              <w:t>备注：</w:t>
            </w:r>
            <w:r>
              <w:rPr>
                <w:rFonts w:hint="eastAsia" w:ascii="仿宋" w:hAnsi="仿宋" w:eastAsia="仿宋" w:cs="仿宋"/>
                <w:b/>
                <w:bCs/>
                <w:color w:val="auto"/>
                <w:sz w:val="24"/>
                <w:highlight w:val="none"/>
              </w:rPr>
              <w:t>报价超出预算价格属无效报价。</w:t>
            </w:r>
          </w:p>
        </w:tc>
      </w:tr>
    </w:tbl>
    <w:p w14:paraId="6BFEE7A1">
      <w:pPr>
        <w:spacing w:line="360" w:lineRule="auto"/>
        <w:rPr>
          <w:rFonts w:hint="eastAsia" w:ascii="仿宋" w:hAnsi="仿宋" w:eastAsia="仿宋" w:cs="仿宋"/>
          <w:b/>
          <w:bCs/>
          <w:color w:val="auto"/>
          <w:sz w:val="24"/>
          <w:highlight w:val="none"/>
        </w:rPr>
      </w:pPr>
    </w:p>
    <w:p w14:paraId="70E87633">
      <w:pPr>
        <w:numPr>
          <w:ilvl w:val="0"/>
          <w:numId w:val="6"/>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服务商</w:t>
      </w:r>
      <w:r>
        <w:rPr>
          <w:rFonts w:hint="eastAsia" w:ascii="仿宋" w:hAnsi="仿宋" w:eastAsia="仿宋" w:cs="仿宋"/>
          <w:b/>
          <w:bCs/>
          <w:color w:val="auto"/>
          <w:sz w:val="24"/>
          <w:highlight w:val="none"/>
        </w:rPr>
        <w:t>项目完成后</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出具检测报告</w:t>
      </w:r>
      <w:r>
        <w:rPr>
          <w:rFonts w:hint="eastAsia" w:ascii="仿宋" w:hAnsi="仿宋" w:eastAsia="仿宋" w:cs="仿宋"/>
          <w:b/>
          <w:bCs/>
          <w:color w:val="auto"/>
          <w:sz w:val="24"/>
          <w:highlight w:val="none"/>
          <w:lang w:val="en-US" w:eastAsia="zh-CN"/>
        </w:rPr>
        <w:t>并</w:t>
      </w:r>
      <w:r>
        <w:rPr>
          <w:rFonts w:hint="eastAsia" w:ascii="仿宋" w:hAnsi="仿宋" w:eastAsia="仿宋" w:cs="仿宋"/>
          <w:b/>
          <w:bCs/>
          <w:color w:val="auto"/>
          <w:sz w:val="24"/>
          <w:highlight w:val="none"/>
        </w:rPr>
        <w:t>开具全额发票后</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采购人在</w:t>
      </w:r>
      <w:r>
        <w:rPr>
          <w:rFonts w:hint="eastAsia" w:ascii="仿宋" w:hAnsi="仿宋" w:eastAsia="仿宋" w:cs="仿宋"/>
          <w:b/>
          <w:bCs/>
          <w:color w:val="auto"/>
          <w:sz w:val="24"/>
          <w:highlight w:val="none"/>
        </w:rPr>
        <w:t>审批完成后7个工作日内付款。</w:t>
      </w:r>
    </w:p>
    <w:p w14:paraId="1B72660E">
      <w:pPr>
        <w:widowControl w:val="0"/>
        <w:numPr>
          <w:ilvl w:val="0"/>
          <w:numId w:val="0"/>
        </w:numPr>
        <w:spacing w:line="360" w:lineRule="auto"/>
        <w:jc w:val="both"/>
        <w:rPr>
          <w:rFonts w:hint="eastAsia" w:ascii="仿宋" w:hAnsi="仿宋" w:eastAsia="仿宋" w:cs="仿宋"/>
          <w:b/>
          <w:bCs/>
          <w:color w:val="auto"/>
          <w:sz w:val="24"/>
          <w:highlight w:val="none"/>
        </w:rPr>
      </w:pPr>
    </w:p>
    <w:p w14:paraId="22AB57EB">
      <w:pPr>
        <w:widowControl w:val="0"/>
        <w:numPr>
          <w:ilvl w:val="0"/>
          <w:numId w:val="0"/>
        </w:numPr>
        <w:spacing w:line="360" w:lineRule="auto"/>
        <w:jc w:val="both"/>
        <w:rPr>
          <w:rFonts w:hint="eastAsia" w:ascii="仿宋" w:hAnsi="仿宋" w:eastAsia="仿宋" w:cs="仿宋"/>
          <w:b/>
          <w:bCs/>
          <w:color w:val="auto"/>
          <w:sz w:val="24"/>
          <w:highlight w:val="none"/>
        </w:rPr>
      </w:pPr>
    </w:p>
    <w:p w14:paraId="248D2BAA">
      <w:pPr>
        <w:widowControl w:val="0"/>
        <w:numPr>
          <w:ilvl w:val="0"/>
          <w:numId w:val="0"/>
        </w:numPr>
        <w:spacing w:line="360" w:lineRule="auto"/>
        <w:jc w:val="both"/>
        <w:rPr>
          <w:rFonts w:hint="eastAsia" w:ascii="仿宋" w:hAnsi="仿宋" w:eastAsia="仿宋" w:cs="仿宋"/>
          <w:b/>
          <w:bCs/>
          <w:color w:val="auto"/>
          <w:sz w:val="24"/>
          <w:highlight w:val="none"/>
        </w:rPr>
      </w:pPr>
    </w:p>
    <w:p w14:paraId="0FC025B5">
      <w:pPr>
        <w:widowControl w:val="0"/>
        <w:numPr>
          <w:ilvl w:val="0"/>
          <w:numId w:val="0"/>
        </w:numPr>
        <w:spacing w:line="360" w:lineRule="auto"/>
        <w:jc w:val="both"/>
        <w:rPr>
          <w:rFonts w:hint="eastAsia" w:ascii="仿宋" w:hAnsi="仿宋" w:eastAsia="仿宋" w:cs="仿宋"/>
          <w:b/>
          <w:bCs/>
          <w:color w:val="auto"/>
          <w:sz w:val="24"/>
          <w:highlight w:val="none"/>
        </w:rPr>
      </w:pPr>
    </w:p>
    <w:p w14:paraId="311DF5BC">
      <w:pPr>
        <w:numPr>
          <w:ilvl w:val="0"/>
          <w:numId w:val="7"/>
        </w:num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报价单</w:t>
      </w:r>
    </w:p>
    <w:p w14:paraId="4CE12FF0">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温州医科大学附属第二医院中央空调末端</w:t>
      </w:r>
      <w:r>
        <w:rPr>
          <w:rFonts w:hint="eastAsia" w:ascii="仿宋" w:hAnsi="仿宋" w:eastAsia="仿宋" w:cs="仿宋"/>
          <w:b/>
          <w:bCs/>
          <w:color w:val="auto"/>
          <w:sz w:val="24"/>
          <w:highlight w:val="none"/>
          <w:lang w:val="en-US" w:eastAsia="zh-CN"/>
        </w:rPr>
        <w:t>检测</w:t>
      </w:r>
      <w:r>
        <w:rPr>
          <w:rFonts w:hint="eastAsia" w:ascii="仿宋" w:hAnsi="仿宋" w:eastAsia="仿宋" w:cs="仿宋"/>
          <w:b/>
          <w:bCs/>
          <w:color w:val="auto"/>
          <w:sz w:val="24"/>
          <w:highlight w:val="none"/>
        </w:rPr>
        <w:t>服务报价单</w:t>
      </w:r>
    </w:p>
    <w:tbl>
      <w:tblPr>
        <w:tblStyle w:val="6"/>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765"/>
        <w:gridCol w:w="810"/>
        <w:gridCol w:w="1320"/>
        <w:gridCol w:w="1524"/>
        <w:gridCol w:w="2754"/>
      </w:tblGrid>
      <w:tr w14:paraId="02A8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6" w:type="dxa"/>
            <w:vAlign w:val="center"/>
          </w:tcPr>
          <w:p w14:paraId="74B8257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65" w:type="dxa"/>
            <w:vAlign w:val="center"/>
          </w:tcPr>
          <w:p w14:paraId="37B4AC1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10" w:type="dxa"/>
            <w:vAlign w:val="center"/>
          </w:tcPr>
          <w:p w14:paraId="42A101C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1320" w:type="dxa"/>
            <w:vAlign w:val="center"/>
          </w:tcPr>
          <w:p w14:paraId="0586362C">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单价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p>
        </w:tc>
        <w:tc>
          <w:tcPr>
            <w:tcW w:w="1524" w:type="dxa"/>
            <w:vAlign w:val="center"/>
          </w:tcPr>
          <w:p w14:paraId="7A67755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lang w:eastAsia="zh-CN"/>
              </w:rPr>
              <w:t>）</w:t>
            </w:r>
          </w:p>
        </w:tc>
        <w:tc>
          <w:tcPr>
            <w:tcW w:w="2754" w:type="dxa"/>
            <w:vAlign w:val="center"/>
          </w:tcPr>
          <w:p w14:paraId="33F8AA8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需求</w:t>
            </w:r>
          </w:p>
        </w:tc>
      </w:tr>
      <w:tr w14:paraId="1C1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56" w:type="dxa"/>
            <w:vAlign w:val="center"/>
          </w:tcPr>
          <w:p w14:paraId="5775141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中央空调末端</w:t>
            </w:r>
            <w:r>
              <w:rPr>
                <w:rFonts w:hint="eastAsia" w:ascii="仿宋" w:hAnsi="仿宋" w:eastAsia="仿宋" w:cs="仿宋"/>
                <w:color w:val="auto"/>
                <w:sz w:val="24"/>
                <w:highlight w:val="none"/>
                <w:lang w:val="en-US" w:eastAsia="zh-CN"/>
              </w:rPr>
              <w:t>检测</w:t>
            </w:r>
            <w:r>
              <w:rPr>
                <w:rFonts w:hint="eastAsia" w:ascii="仿宋" w:hAnsi="仿宋" w:eastAsia="仿宋" w:cs="仿宋"/>
                <w:color w:val="auto"/>
                <w:sz w:val="24"/>
                <w:highlight w:val="none"/>
              </w:rPr>
              <w:t>服务</w:t>
            </w:r>
          </w:p>
        </w:tc>
        <w:tc>
          <w:tcPr>
            <w:tcW w:w="765" w:type="dxa"/>
            <w:vAlign w:val="center"/>
          </w:tcPr>
          <w:p w14:paraId="6E5E859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60</w:t>
            </w:r>
          </w:p>
        </w:tc>
        <w:tc>
          <w:tcPr>
            <w:tcW w:w="810" w:type="dxa"/>
            <w:vAlign w:val="center"/>
          </w:tcPr>
          <w:p w14:paraId="4E788EA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点位</w:t>
            </w:r>
          </w:p>
        </w:tc>
        <w:tc>
          <w:tcPr>
            <w:tcW w:w="1320" w:type="dxa"/>
            <w:vAlign w:val="center"/>
          </w:tcPr>
          <w:p w14:paraId="7936B514">
            <w:pPr>
              <w:spacing w:line="360" w:lineRule="auto"/>
              <w:jc w:val="center"/>
              <w:rPr>
                <w:rFonts w:hint="eastAsia" w:ascii="仿宋" w:hAnsi="仿宋" w:eastAsia="仿宋" w:cs="仿宋"/>
                <w:color w:val="auto"/>
                <w:sz w:val="24"/>
                <w:highlight w:val="none"/>
              </w:rPr>
            </w:pPr>
          </w:p>
        </w:tc>
        <w:tc>
          <w:tcPr>
            <w:tcW w:w="1524" w:type="dxa"/>
            <w:vAlign w:val="center"/>
          </w:tcPr>
          <w:p w14:paraId="3778C1CB">
            <w:pPr>
              <w:spacing w:line="360" w:lineRule="auto"/>
              <w:jc w:val="center"/>
              <w:rPr>
                <w:rFonts w:hint="eastAsia" w:ascii="仿宋" w:hAnsi="仿宋" w:eastAsia="仿宋" w:cs="仿宋"/>
                <w:color w:val="auto"/>
                <w:sz w:val="24"/>
                <w:highlight w:val="none"/>
              </w:rPr>
            </w:pPr>
          </w:p>
        </w:tc>
        <w:tc>
          <w:tcPr>
            <w:tcW w:w="2754" w:type="dxa"/>
            <w:vAlign w:val="center"/>
          </w:tcPr>
          <w:p w14:paraId="4A6498A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对检查点位进行检测并出具检测报告</w:t>
            </w:r>
          </w:p>
        </w:tc>
      </w:tr>
      <w:tr w14:paraId="6D1D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56" w:type="dxa"/>
            <w:vAlign w:val="center"/>
          </w:tcPr>
          <w:p w14:paraId="2AD8B4C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总金额：</w:t>
            </w:r>
          </w:p>
        </w:tc>
        <w:tc>
          <w:tcPr>
            <w:tcW w:w="7173" w:type="dxa"/>
            <w:gridSpan w:val="5"/>
            <w:vAlign w:val="center"/>
          </w:tcPr>
          <w:p w14:paraId="507DA24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w:t>
            </w:r>
          </w:p>
        </w:tc>
      </w:tr>
      <w:tr w14:paraId="67E0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56" w:type="dxa"/>
            <w:vAlign w:val="center"/>
          </w:tcPr>
          <w:p w14:paraId="26760AE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大写金额：</w:t>
            </w:r>
          </w:p>
        </w:tc>
        <w:tc>
          <w:tcPr>
            <w:tcW w:w="7173" w:type="dxa"/>
            <w:gridSpan w:val="5"/>
            <w:vAlign w:val="center"/>
          </w:tcPr>
          <w:p w14:paraId="5A7654F6">
            <w:pPr>
              <w:spacing w:line="360" w:lineRule="auto"/>
              <w:jc w:val="center"/>
              <w:rPr>
                <w:rFonts w:hint="eastAsia" w:ascii="仿宋" w:hAnsi="仿宋" w:eastAsia="仿宋" w:cs="仿宋"/>
                <w:color w:val="auto"/>
                <w:sz w:val="24"/>
                <w:highlight w:val="none"/>
              </w:rPr>
            </w:pPr>
          </w:p>
        </w:tc>
      </w:tr>
    </w:tbl>
    <w:p w14:paraId="36384C6F">
      <w:pPr>
        <w:keepNext w:val="0"/>
        <w:keepLines w:val="0"/>
        <w:widowControl/>
        <w:suppressLineNumbers w:val="0"/>
        <w:spacing w:line="24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说明1： 包含本次检测所需的一切费用，包括但不限于检测费、工具费、税费等。如小写与大写的金额不一致以大写金额为准。 </w:t>
      </w:r>
    </w:p>
    <w:p w14:paraId="113737E1">
      <w:pPr>
        <w:numPr>
          <w:ilvl w:val="0"/>
          <w:numId w:val="0"/>
        </w:numPr>
        <w:snapToGrid w:val="0"/>
        <w:spacing w:line="240" w:lineRule="auto"/>
        <w:jc w:val="left"/>
        <w:rPr>
          <w:rFonts w:hint="eastAsia"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说明2：投标人已仔细研究了温州医科大学附属第二医院中央空调末端检测服务项目的情况说明，已充分理解并掌握了本询价项目的全部有关情况。同意接受并响应询价文件的全部内容和条件。</w:t>
      </w:r>
    </w:p>
    <w:p w14:paraId="2AD3FA30">
      <w:pPr>
        <w:numPr>
          <w:ilvl w:val="0"/>
          <w:numId w:val="0"/>
        </w:numPr>
        <w:snapToGrid w:val="0"/>
        <w:spacing w:line="240" w:lineRule="auto"/>
        <w:jc w:val="left"/>
        <w:rPr>
          <w:rFonts w:hint="default" w:ascii="宋体" w:hAnsi="宋体" w:eastAsia="宋体" w:cs="Times New Roman"/>
          <w:bCs/>
          <w:sz w:val="24"/>
          <w:highlight w:val="none"/>
          <w:lang w:val="en-US" w:eastAsia="zh-CN"/>
        </w:rPr>
      </w:pPr>
      <w:r>
        <w:rPr>
          <w:rFonts w:hint="eastAsia" w:ascii="宋体" w:hAnsi="宋体" w:eastAsia="宋体" w:cs="Times New Roman"/>
          <w:bCs/>
          <w:sz w:val="24"/>
          <w:highlight w:val="none"/>
          <w:lang w:val="en-US" w:eastAsia="zh-CN"/>
        </w:rPr>
        <w:t>说明3：服务期一年。</w:t>
      </w:r>
    </w:p>
    <w:p w14:paraId="6D257FE3">
      <w:pPr>
        <w:keepNext w:val="0"/>
        <w:keepLines w:val="0"/>
        <w:widowControl/>
        <w:suppressLineNumbers w:val="0"/>
        <w:spacing w:line="240" w:lineRule="auto"/>
        <w:jc w:val="left"/>
        <w:rPr>
          <w:rFonts w:hint="eastAsia" w:ascii="宋体" w:hAnsi="宋体"/>
          <w:bCs/>
          <w:sz w:val="24"/>
          <w:highlight w:val="none"/>
          <w:lang w:val="en-US" w:eastAsia="zh-CN"/>
        </w:rPr>
      </w:pPr>
      <w:r>
        <w:rPr>
          <w:rFonts w:hint="eastAsia" w:ascii="宋体" w:hAnsi="宋体"/>
          <w:bCs/>
          <w:sz w:val="24"/>
          <w:highlight w:val="none"/>
          <w:lang w:val="en-US" w:eastAsia="zh-CN"/>
        </w:rPr>
        <w:t>▲</w:t>
      </w:r>
      <w:r>
        <w:rPr>
          <w:rFonts w:hint="eastAsia" w:ascii="宋体" w:hAnsi="宋体"/>
          <w:b/>
          <w:bCs w:val="0"/>
          <w:sz w:val="24"/>
          <w:highlight w:val="none"/>
          <w:lang w:val="en-US" w:eastAsia="zh-CN"/>
        </w:rPr>
        <w:t>说明4：报价总价不得高于49200元。</w:t>
      </w:r>
    </w:p>
    <w:p w14:paraId="4D43B8F7">
      <w:pPr>
        <w:wordWrap w:val="0"/>
        <w:spacing w:line="360" w:lineRule="auto"/>
        <w:rPr>
          <w:rFonts w:hint="eastAsia" w:ascii="仿宋" w:hAnsi="仿宋" w:eastAsia="仿宋" w:cs="仿宋"/>
          <w:color w:val="auto"/>
          <w:sz w:val="24"/>
          <w:highlight w:val="none"/>
        </w:rPr>
      </w:pPr>
    </w:p>
    <w:p w14:paraId="4B3A6595">
      <w:pPr>
        <w:pStyle w:val="3"/>
        <w:spacing w:before="82"/>
        <w:ind w:firstLine="4600" w:firstLineChars="2000"/>
        <w:rPr>
          <w:spacing w:val="-5"/>
          <w:sz w:val="24"/>
          <w:szCs w:val="24"/>
          <w:highlight w:val="none"/>
        </w:rPr>
      </w:pPr>
      <w:r>
        <w:rPr>
          <w:spacing w:val="-5"/>
          <w:sz w:val="24"/>
          <w:szCs w:val="24"/>
          <w:highlight w:val="none"/>
        </w:rPr>
        <w:t>联</w:t>
      </w:r>
      <w:r>
        <w:rPr>
          <w:rFonts w:hint="eastAsia"/>
          <w:spacing w:val="-5"/>
          <w:sz w:val="24"/>
          <w:szCs w:val="24"/>
          <w:highlight w:val="none"/>
          <w:lang w:eastAsia="zh-CN"/>
        </w:rPr>
        <w:t xml:space="preserve">   </w:t>
      </w:r>
      <w:r>
        <w:rPr>
          <w:spacing w:val="-5"/>
          <w:sz w:val="24"/>
          <w:szCs w:val="24"/>
          <w:highlight w:val="none"/>
        </w:rPr>
        <w:t>系</w:t>
      </w:r>
      <w:r>
        <w:rPr>
          <w:rFonts w:hint="eastAsia"/>
          <w:spacing w:val="-5"/>
          <w:sz w:val="24"/>
          <w:szCs w:val="24"/>
          <w:highlight w:val="none"/>
          <w:lang w:eastAsia="zh-CN"/>
        </w:rPr>
        <w:t xml:space="preserve">   </w:t>
      </w:r>
      <w:r>
        <w:rPr>
          <w:spacing w:val="-5"/>
          <w:sz w:val="24"/>
          <w:szCs w:val="24"/>
          <w:highlight w:val="none"/>
        </w:rPr>
        <w:t>人</w:t>
      </w:r>
      <w:r>
        <w:rPr>
          <w:rFonts w:hint="eastAsia"/>
          <w:spacing w:val="-5"/>
          <w:sz w:val="24"/>
          <w:szCs w:val="24"/>
          <w:highlight w:val="none"/>
          <w:lang w:eastAsia="zh-CN"/>
        </w:rPr>
        <w:t xml:space="preserve"> </w:t>
      </w:r>
      <w:r>
        <w:rPr>
          <w:spacing w:val="-5"/>
          <w:sz w:val="24"/>
          <w:szCs w:val="24"/>
          <w:highlight w:val="none"/>
        </w:rPr>
        <w:t>：</w:t>
      </w:r>
    </w:p>
    <w:p w14:paraId="24894332">
      <w:pPr>
        <w:pStyle w:val="3"/>
        <w:spacing w:before="82"/>
        <w:ind w:left="4125" w:firstLine="460" w:firstLineChars="200"/>
        <w:rPr>
          <w:spacing w:val="-5"/>
          <w:sz w:val="24"/>
          <w:szCs w:val="24"/>
          <w:highlight w:val="none"/>
          <w:lang w:eastAsia="zh-CN"/>
        </w:rPr>
      </w:pPr>
      <w:r>
        <w:rPr>
          <w:rFonts w:hint="eastAsia"/>
          <w:spacing w:val="-5"/>
          <w:sz w:val="24"/>
          <w:szCs w:val="24"/>
          <w:highlight w:val="none"/>
          <w:lang w:eastAsia="zh-CN"/>
        </w:rPr>
        <w:t xml:space="preserve">手        机 ： </w:t>
      </w:r>
    </w:p>
    <w:p w14:paraId="63683D45">
      <w:pPr>
        <w:pStyle w:val="3"/>
        <w:spacing w:before="82"/>
        <w:ind w:left="4125" w:firstLine="440" w:firstLineChars="200"/>
        <w:rPr>
          <w:spacing w:val="-10"/>
          <w:sz w:val="24"/>
          <w:szCs w:val="24"/>
          <w:highlight w:val="none"/>
        </w:rPr>
      </w:pPr>
      <w:r>
        <w:rPr>
          <w:spacing w:val="-10"/>
          <w:sz w:val="24"/>
          <w:szCs w:val="24"/>
          <w:highlight w:val="none"/>
        </w:rPr>
        <w:t>单位</w:t>
      </w:r>
      <w:r>
        <w:rPr>
          <w:rFonts w:hint="eastAsia"/>
          <w:spacing w:val="-10"/>
          <w:sz w:val="24"/>
          <w:szCs w:val="24"/>
          <w:highlight w:val="none"/>
          <w:lang w:eastAsia="zh-CN"/>
        </w:rPr>
        <w:t xml:space="preserve">  （盖章）</w:t>
      </w:r>
      <w:r>
        <w:rPr>
          <w:spacing w:val="-10"/>
          <w:sz w:val="24"/>
          <w:szCs w:val="24"/>
          <w:highlight w:val="none"/>
        </w:rPr>
        <w:t>：</w:t>
      </w:r>
    </w:p>
    <w:p w14:paraId="39FF572E">
      <w:pPr>
        <w:pStyle w:val="3"/>
        <w:spacing w:before="82"/>
        <w:ind w:left="4125" w:firstLine="440" w:firstLineChars="200"/>
        <w:rPr>
          <w:sz w:val="32"/>
          <w:szCs w:val="32"/>
          <w:highlight w:val="none"/>
        </w:rPr>
      </w:pPr>
      <w:r>
        <w:rPr>
          <w:rFonts w:hint="eastAsia"/>
          <w:spacing w:val="-10"/>
          <w:sz w:val="24"/>
          <w:szCs w:val="24"/>
          <w:highlight w:val="none"/>
          <w:lang w:eastAsia="zh-CN"/>
        </w:rPr>
        <w:t>时          间 ：</w:t>
      </w:r>
    </w:p>
    <w:p w14:paraId="485193C4">
      <w:pPr>
        <w:rPr>
          <w:rFonts w:hint="eastAsia" w:ascii="仿宋" w:hAnsi="仿宋" w:eastAsia="仿宋" w:cs="仿宋"/>
          <w:color w:val="auto"/>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0D4DB"/>
    <w:multiLevelType w:val="singleLevel"/>
    <w:tmpl w:val="ADF0D4DB"/>
    <w:lvl w:ilvl="0" w:tentative="0">
      <w:start w:val="4"/>
      <w:numFmt w:val="chineseCounting"/>
      <w:suff w:val="nothing"/>
      <w:lvlText w:val="%1、"/>
      <w:lvlJc w:val="left"/>
      <w:rPr>
        <w:rFonts w:hint="eastAsia"/>
      </w:r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F55346D3"/>
    <w:multiLevelType w:val="singleLevel"/>
    <w:tmpl w:val="F55346D3"/>
    <w:lvl w:ilvl="0" w:tentative="0">
      <w:start w:val="1"/>
      <w:numFmt w:val="decimalEnclosedCircleChinese"/>
      <w:suff w:val="nothing"/>
      <w:lvlText w:val="%1　"/>
      <w:lvlJc w:val="left"/>
      <w:pPr>
        <w:ind w:left="0" w:firstLine="400"/>
      </w:pPr>
      <w:rPr>
        <w:rFonts w:hint="eastAsia"/>
      </w:rPr>
    </w:lvl>
  </w:abstractNum>
  <w:abstractNum w:abstractNumId="3">
    <w:nsid w:val="FAF8B566"/>
    <w:multiLevelType w:val="singleLevel"/>
    <w:tmpl w:val="FAF8B566"/>
    <w:lvl w:ilvl="0" w:tentative="0">
      <w:start w:val="1"/>
      <w:numFmt w:val="decimal"/>
      <w:lvlText w:val="%1."/>
      <w:lvlJc w:val="left"/>
      <w:pPr>
        <w:ind w:left="425" w:hanging="425"/>
      </w:pPr>
      <w:rPr>
        <w:rFonts w:hint="default"/>
      </w:rPr>
    </w:lvl>
  </w:abstractNum>
  <w:abstractNum w:abstractNumId="4">
    <w:nsid w:val="10A15AC3"/>
    <w:multiLevelType w:val="singleLevel"/>
    <w:tmpl w:val="10A15AC3"/>
    <w:lvl w:ilvl="0" w:tentative="0">
      <w:start w:val="1"/>
      <w:numFmt w:val="decimal"/>
      <w:lvlText w:val="(%1)"/>
      <w:lvlJc w:val="left"/>
      <w:pPr>
        <w:ind w:left="425" w:hanging="425"/>
      </w:pPr>
      <w:rPr>
        <w:rFonts w:hint="default"/>
      </w:rPr>
    </w:lvl>
  </w:abstractNum>
  <w:abstractNum w:abstractNumId="5">
    <w:nsid w:val="3F7E4DC9"/>
    <w:multiLevelType w:val="singleLevel"/>
    <w:tmpl w:val="3F7E4DC9"/>
    <w:lvl w:ilvl="0" w:tentative="0">
      <w:start w:val="1"/>
      <w:numFmt w:val="decimal"/>
      <w:lvlText w:val="(%1)"/>
      <w:lvlJc w:val="left"/>
      <w:pPr>
        <w:ind w:left="425" w:hanging="425"/>
      </w:pPr>
      <w:rPr>
        <w:rFonts w:hint="default"/>
      </w:rPr>
    </w:lvl>
  </w:abstractNum>
  <w:abstractNum w:abstractNumId="6">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3"/>
  </w:num>
  <w:num w:numId="3">
    <w:abstractNumId w:val="5"/>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776555"/>
    <w:rsid w:val="26C2014E"/>
    <w:rsid w:val="2B236EEC"/>
    <w:rsid w:val="2E750FBE"/>
    <w:rsid w:val="4760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jc w:val="center"/>
      <w:outlineLvl w:val="0"/>
    </w:pPr>
    <w:rPr>
      <w:b/>
      <w:bCs/>
      <w:sz w:val="24"/>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33"/>
      <w:szCs w:val="33"/>
      <w:lang w:eastAsia="en-US"/>
    </w:rPr>
  </w:style>
  <w:style w:type="paragraph" w:styleId="4">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1837</Words>
  <Characters>1908</Characters>
  <Lines>13</Lines>
  <Paragraphs>3</Paragraphs>
  <TotalTime>0</TotalTime>
  <ScaleCrop>false</ScaleCrop>
  <LinksUpToDate>false</LinksUpToDate>
  <CharactersWithSpaces>1956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2025-03-03T16:54:00Z</dcterms:created>
  <dc:creator>胡</dc:creator>
  <cp:lastModifiedBy>郑听</cp:lastModifiedBy>
  <dcterms:modified xsi:type="dcterms:W3CDTF">2025-03-04T06:30:41Z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2E5BC557CEB94BFCB6BF3A22A6C26A07_11</vt:lpwstr>
  </property>
  <property fmtid="{D5CDD505-2E9C-101B-9397-08002B2CF9AE}" pid="4" name="KSOTemplateDocerSaveRecord">
    <vt:lpwstr>eyJoZGlkIjoiZTg4NTAxZGUyM2E2ZjBjZGUyZWI1NDFlN2U2ODlmOGIiLCJ1c2VySWQiOiIxNDQwMTE0OTI3In0=</vt:lpwstr>
  </property>
</Properties>
</file>