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FD982">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734389ED">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249D241F">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1F81F48A">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3E4869BC">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7221149A">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14:paraId="6C3B3A7F">
      <w:pPr>
        <w:pStyle w:val="2"/>
        <w:ind w:left="0" w:leftChars="0" w:firstLine="0" w:firstLineChars="0"/>
      </w:pPr>
    </w:p>
    <w:p w14:paraId="4CD2911F">
      <w:pPr>
        <w:tabs>
          <w:tab w:val="left" w:pos="-200"/>
        </w:tabs>
        <w:ind w:left="0" w:leftChars="0" w:firstLine="0" w:firstLineChars="0"/>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14:paraId="12BABBA9">
      <w:pPr>
        <w:tabs>
          <w:tab w:val="left" w:pos="-200"/>
        </w:tabs>
        <w:ind w:left="0" w:leftChars="0" w:firstLine="0" w:firstLineChars="0"/>
        <w:rPr>
          <w:color w:val="000000" w:themeColor="text1"/>
          <w14:textFill>
            <w14:solidFill>
              <w14:schemeClr w14:val="tx1"/>
            </w14:solidFill>
          </w14:textFill>
        </w:rPr>
      </w:pPr>
    </w:p>
    <w:p w14:paraId="5817686C">
      <w:pPr>
        <w:tabs>
          <w:tab w:val="left" w:pos="-200"/>
        </w:tabs>
        <w:ind w:left="0" w:leftChars="0" w:firstLine="0" w:firstLineChars="0"/>
        <w:jc w:val="center"/>
        <w:rPr>
          <w:sz w:val="28"/>
          <w:szCs w:val="28"/>
        </w:rPr>
      </w:pPr>
      <w:r>
        <w:rPr>
          <w:rFonts w:hint="eastAsia" w:ascii="微软雅黑" w:hAnsi="微软雅黑" w:eastAsia="微软雅黑"/>
          <w:color w:val="auto"/>
          <w:sz w:val="44"/>
          <w:szCs w:val="44"/>
        </w:rPr>
        <w:t>信息项目</w:t>
      </w:r>
      <w:r>
        <w:rPr>
          <w:rFonts w:hint="default" w:ascii="微软雅黑" w:hAnsi="微软雅黑" w:eastAsia="微软雅黑"/>
          <w:color w:val="auto"/>
          <w:sz w:val="44"/>
          <w:szCs w:val="44"/>
        </w:rPr>
        <w:t>采购</w:t>
      </w:r>
      <w:r>
        <w:rPr>
          <w:rFonts w:hint="eastAsia" w:ascii="微软雅黑" w:hAnsi="微软雅黑" w:eastAsia="微软雅黑"/>
          <w:color w:val="auto"/>
          <w:sz w:val="44"/>
          <w:szCs w:val="44"/>
          <w:lang w:val="en-US" w:eastAsia="zh-CN"/>
        </w:rPr>
        <w:t>技术</w:t>
      </w:r>
      <w:r>
        <w:rPr>
          <w:rFonts w:hint="eastAsia" w:ascii="微软雅黑" w:hAnsi="微软雅黑" w:eastAsia="微软雅黑"/>
          <w:color w:val="auto"/>
          <w:sz w:val="44"/>
          <w:szCs w:val="44"/>
        </w:rPr>
        <w:t>参数</w:t>
      </w:r>
    </w:p>
    <w:tbl>
      <w:tblPr>
        <w:tblStyle w:val="12"/>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14:paraId="3CC5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113F8228">
            <w:pPr>
              <w:tabs>
                <w:tab w:val="left" w:pos="-200"/>
              </w:tabs>
              <w:ind w:left="0" w:leftChars="0" w:firstLine="0" w:firstLineChars="0"/>
              <w:jc w:val="right"/>
              <w:rPr>
                <w:rFonts w:hint="eastAsia" w:eastAsia="宋体"/>
                <w:color w:val="auto"/>
                <w:sz w:val="28"/>
                <w:szCs w:val="28"/>
                <w:lang w:eastAsia="zh-CN"/>
              </w:rPr>
            </w:pPr>
            <w:r>
              <w:rPr>
                <w:rFonts w:hint="eastAsia"/>
                <w:color w:val="auto"/>
                <w:sz w:val="28"/>
                <w:szCs w:val="28"/>
                <w:lang w:val="en-US" w:eastAsia="zh-CN"/>
              </w:rPr>
              <w:t>预算</w:t>
            </w:r>
            <w:r>
              <w:rPr>
                <w:rFonts w:hint="eastAsia"/>
                <w:color w:val="auto"/>
                <w:sz w:val="28"/>
                <w:szCs w:val="28"/>
              </w:rPr>
              <w:t>编号</w:t>
            </w:r>
            <w:r>
              <w:rPr>
                <w:rFonts w:hint="eastAsia"/>
                <w:color w:val="auto"/>
                <w:sz w:val="28"/>
                <w:szCs w:val="28"/>
                <w:lang w:eastAsia="zh-CN"/>
              </w:rPr>
              <w:t>：</w:t>
            </w:r>
          </w:p>
        </w:tc>
        <w:tc>
          <w:tcPr>
            <w:tcW w:w="5207" w:type="dxa"/>
            <w:vAlign w:val="center"/>
          </w:tcPr>
          <w:p w14:paraId="00E4C5FD">
            <w:pPr>
              <w:tabs>
                <w:tab w:val="left" w:pos="-200"/>
              </w:tabs>
              <w:ind w:left="0" w:leftChars="0" w:firstLine="0" w:firstLineChars="0"/>
              <w:jc w:val="left"/>
              <w:rPr>
                <w:rFonts w:hint="default"/>
                <w:color w:val="auto"/>
                <w:sz w:val="28"/>
                <w:szCs w:val="28"/>
                <w:lang w:val="en-US" w:eastAsia="zh-CN"/>
              </w:rPr>
            </w:pPr>
            <w:r>
              <w:rPr>
                <w:rFonts w:hint="default"/>
                <w:color w:val="auto"/>
                <w:sz w:val="28"/>
                <w:szCs w:val="28"/>
                <w:lang w:val="en-US" w:eastAsia="zh-CN"/>
              </w:rPr>
              <w:t>XX-202464</w:t>
            </w:r>
          </w:p>
        </w:tc>
      </w:tr>
      <w:tr w14:paraId="6419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56AE12B6">
            <w:pPr>
              <w:tabs>
                <w:tab w:val="left" w:pos="-200"/>
              </w:tabs>
              <w:ind w:left="0" w:leftChars="0" w:firstLine="0" w:firstLineChars="0"/>
              <w:jc w:val="right"/>
              <w:rPr>
                <w:color w:val="auto"/>
                <w:sz w:val="28"/>
                <w:szCs w:val="28"/>
              </w:rPr>
            </w:pPr>
            <w:r>
              <w:rPr>
                <w:rFonts w:hint="eastAsia"/>
                <w:color w:val="auto"/>
                <w:sz w:val="28"/>
                <w:szCs w:val="28"/>
              </w:rPr>
              <w:t>项目名称：</w:t>
            </w:r>
          </w:p>
        </w:tc>
        <w:tc>
          <w:tcPr>
            <w:tcW w:w="5207" w:type="dxa"/>
            <w:vAlign w:val="center"/>
          </w:tcPr>
          <w:p w14:paraId="1AAF1F2B">
            <w:pPr>
              <w:tabs>
                <w:tab w:val="left" w:pos="-200"/>
              </w:tabs>
              <w:ind w:left="0" w:leftChars="0" w:firstLine="0" w:firstLineChars="0"/>
              <w:jc w:val="left"/>
              <w:rPr>
                <w:rFonts w:hint="default"/>
                <w:color w:val="auto"/>
                <w:sz w:val="28"/>
                <w:szCs w:val="28"/>
                <w:lang w:val="en-US" w:eastAsia="zh-CN"/>
              </w:rPr>
            </w:pPr>
            <w:r>
              <w:rPr>
                <w:rFonts w:hint="eastAsia"/>
                <w:color w:val="auto"/>
                <w:sz w:val="28"/>
                <w:szCs w:val="28"/>
                <w:lang w:val="en-US" w:eastAsia="zh-CN"/>
              </w:rPr>
              <w:t>医</w:t>
            </w:r>
            <w:r>
              <w:rPr>
                <w:rFonts w:hint="eastAsia"/>
                <w:color w:val="auto"/>
                <w:sz w:val="28"/>
                <w:szCs w:val="28"/>
              </w:rPr>
              <w:t>疗费用电子票据管理</w:t>
            </w:r>
            <w:r>
              <w:rPr>
                <w:rFonts w:hint="eastAsia"/>
                <w:color w:val="auto"/>
                <w:sz w:val="28"/>
                <w:szCs w:val="28"/>
                <w:lang w:val="en-US" w:eastAsia="zh-CN"/>
              </w:rPr>
              <w:t>平台运维服务</w:t>
            </w:r>
          </w:p>
        </w:tc>
      </w:tr>
      <w:tr w14:paraId="46B8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42CA6428">
            <w:pPr>
              <w:tabs>
                <w:tab w:val="left" w:pos="-200"/>
              </w:tabs>
              <w:ind w:left="0" w:leftChars="0" w:firstLine="0" w:firstLineChars="0"/>
              <w:jc w:val="right"/>
              <w:rPr>
                <w:rFonts w:hint="default"/>
                <w:color w:val="auto"/>
                <w:sz w:val="28"/>
                <w:szCs w:val="28"/>
              </w:rPr>
            </w:pPr>
            <w:r>
              <w:rPr>
                <w:rFonts w:hint="default"/>
                <w:color w:val="auto"/>
                <w:sz w:val="28"/>
                <w:szCs w:val="28"/>
              </w:rPr>
              <w:t>预算名称：</w:t>
            </w:r>
          </w:p>
        </w:tc>
        <w:tc>
          <w:tcPr>
            <w:tcW w:w="5207" w:type="dxa"/>
            <w:vAlign w:val="center"/>
          </w:tcPr>
          <w:p w14:paraId="1E14B6FC">
            <w:pPr>
              <w:tabs>
                <w:tab w:val="left" w:pos="-200"/>
              </w:tabs>
              <w:ind w:left="0" w:leftChars="0" w:firstLine="0" w:firstLineChars="0"/>
              <w:jc w:val="left"/>
              <w:rPr>
                <w:rFonts w:hint="default"/>
                <w:color w:val="auto"/>
                <w:sz w:val="28"/>
                <w:szCs w:val="28"/>
                <w:lang w:eastAsia="zh-CN"/>
              </w:rPr>
            </w:pPr>
            <w:r>
              <w:rPr>
                <w:rFonts w:hint="default"/>
                <w:color w:val="auto"/>
                <w:sz w:val="28"/>
                <w:szCs w:val="28"/>
                <w:lang w:eastAsia="zh-CN"/>
              </w:rPr>
              <w:t>医疗电子票据维护费</w:t>
            </w:r>
          </w:p>
        </w:tc>
      </w:tr>
      <w:tr w14:paraId="53D2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2E778260">
            <w:pPr>
              <w:tabs>
                <w:tab w:val="left" w:pos="-200"/>
              </w:tabs>
              <w:ind w:left="0" w:leftChars="0" w:firstLine="0" w:firstLineChars="0"/>
              <w:jc w:val="right"/>
              <w:rPr>
                <w:color w:val="auto"/>
                <w:sz w:val="28"/>
                <w:szCs w:val="28"/>
              </w:rPr>
            </w:pPr>
            <w:r>
              <w:rPr>
                <w:rFonts w:hint="eastAsia"/>
                <w:color w:val="auto"/>
                <w:sz w:val="28"/>
                <w:szCs w:val="28"/>
              </w:rPr>
              <w:t>预算金额：</w:t>
            </w:r>
          </w:p>
        </w:tc>
        <w:tc>
          <w:tcPr>
            <w:tcW w:w="5207" w:type="dxa"/>
            <w:vAlign w:val="center"/>
          </w:tcPr>
          <w:p w14:paraId="47FFCD77">
            <w:pPr>
              <w:tabs>
                <w:tab w:val="left" w:pos="-200"/>
              </w:tabs>
              <w:ind w:left="0" w:leftChars="0" w:firstLine="0" w:firstLineChars="0"/>
              <w:jc w:val="left"/>
              <w:rPr>
                <w:rFonts w:hint="eastAsia"/>
                <w:color w:val="auto"/>
                <w:sz w:val="28"/>
                <w:szCs w:val="28"/>
              </w:rPr>
            </w:pPr>
            <w:r>
              <w:rPr>
                <w:rFonts w:hint="eastAsia"/>
                <w:color w:val="auto"/>
                <w:sz w:val="28"/>
                <w:szCs w:val="28"/>
                <w:lang w:val="en-US" w:eastAsia="zh-CN"/>
              </w:rPr>
              <w:t>30000</w:t>
            </w:r>
            <w:r>
              <w:rPr>
                <w:rFonts w:hint="eastAsia"/>
                <w:color w:val="auto"/>
                <w:sz w:val="28"/>
                <w:szCs w:val="28"/>
              </w:rPr>
              <w:t>元</w:t>
            </w:r>
          </w:p>
        </w:tc>
      </w:tr>
      <w:tr w14:paraId="38D8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2DEBF143">
            <w:pPr>
              <w:tabs>
                <w:tab w:val="left" w:pos="-200"/>
              </w:tabs>
              <w:ind w:left="0" w:leftChars="0" w:firstLine="0" w:firstLineChars="0"/>
              <w:jc w:val="right"/>
              <w:rPr>
                <w:color w:val="auto"/>
                <w:sz w:val="28"/>
                <w:szCs w:val="28"/>
              </w:rPr>
            </w:pPr>
            <w:r>
              <w:rPr>
                <w:rFonts w:hint="eastAsia"/>
                <w:color w:val="auto"/>
                <w:sz w:val="28"/>
                <w:szCs w:val="28"/>
              </w:rPr>
              <w:t>方案调研：</w:t>
            </w:r>
          </w:p>
        </w:tc>
        <w:tc>
          <w:tcPr>
            <w:tcW w:w="5207" w:type="dxa"/>
            <w:vAlign w:val="center"/>
          </w:tcPr>
          <w:p w14:paraId="7A2DCAE7">
            <w:pPr>
              <w:tabs>
                <w:tab w:val="left" w:pos="-200"/>
              </w:tabs>
              <w:ind w:left="0" w:leftChars="0" w:firstLine="0" w:firstLineChars="0"/>
              <w:jc w:val="left"/>
              <w:rPr>
                <w:rFonts w:hint="default" w:eastAsia="宋体"/>
                <w:color w:val="auto"/>
                <w:sz w:val="28"/>
                <w:szCs w:val="28"/>
                <w:lang w:val="en-US" w:eastAsia="zh-CN"/>
              </w:rPr>
            </w:pPr>
            <w:bookmarkStart w:id="14" w:name="_GoBack"/>
            <w:bookmarkEnd w:id="14"/>
          </w:p>
        </w:tc>
      </w:tr>
      <w:tr w14:paraId="2EAF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1997CBE8">
            <w:pPr>
              <w:tabs>
                <w:tab w:val="left" w:pos="-200"/>
              </w:tabs>
              <w:ind w:left="0" w:leftChars="0" w:firstLine="0" w:firstLineChars="0"/>
              <w:jc w:val="right"/>
              <w:rPr>
                <w:color w:val="auto"/>
                <w:sz w:val="28"/>
                <w:szCs w:val="28"/>
              </w:rPr>
            </w:pPr>
            <w:r>
              <w:rPr>
                <w:rFonts w:hint="eastAsia"/>
                <w:color w:val="auto"/>
                <w:sz w:val="28"/>
                <w:szCs w:val="28"/>
              </w:rPr>
              <w:t>方案拟定：</w:t>
            </w:r>
          </w:p>
        </w:tc>
        <w:tc>
          <w:tcPr>
            <w:tcW w:w="5207" w:type="dxa"/>
            <w:vAlign w:val="center"/>
          </w:tcPr>
          <w:p w14:paraId="04870F2B">
            <w:pPr>
              <w:tabs>
                <w:tab w:val="left" w:pos="-200"/>
              </w:tabs>
              <w:ind w:left="0" w:leftChars="0" w:firstLine="0" w:firstLineChars="0"/>
              <w:jc w:val="left"/>
              <w:rPr>
                <w:color w:val="auto"/>
                <w:sz w:val="28"/>
                <w:szCs w:val="28"/>
              </w:rPr>
            </w:pPr>
          </w:p>
        </w:tc>
      </w:tr>
      <w:tr w14:paraId="2B88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27A4BF0A">
            <w:pPr>
              <w:tabs>
                <w:tab w:val="left" w:pos="-200"/>
              </w:tabs>
              <w:ind w:left="0" w:leftChars="0" w:firstLine="0" w:firstLineChars="0"/>
              <w:jc w:val="right"/>
              <w:rPr>
                <w:color w:val="auto"/>
                <w:sz w:val="28"/>
                <w:szCs w:val="28"/>
              </w:rPr>
            </w:pPr>
            <w:r>
              <w:rPr>
                <w:rFonts w:hint="eastAsia"/>
                <w:color w:val="auto"/>
                <w:sz w:val="28"/>
                <w:szCs w:val="28"/>
                <w:lang w:val="en-US" w:eastAsia="zh-CN"/>
              </w:rPr>
              <w:t>信息中心审核</w:t>
            </w:r>
            <w:r>
              <w:rPr>
                <w:rFonts w:hint="eastAsia"/>
                <w:color w:val="auto"/>
                <w:sz w:val="28"/>
                <w:szCs w:val="28"/>
              </w:rPr>
              <w:t>：</w:t>
            </w:r>
          </w:p>
        </w:tc>
        <w:tc>
          <w:tcPr>
            <w:tcW w:w="5207" w:type="dxa"/>
            <w:vAlign w:val="center"/>
          </w:tcPr>
          <w:p w14:paraId="12DFD6DA">
            <w:pPr>
              <w:tabs>
                <w:tab w:val="left" w:pos="-200"/>
              </w:tabs>
              <w:ind w:left="0" w:leftChars="0" w:firstLine="0" w:firstLineChars="0"/>
              <w:jc w:val="left"/>
              <w:rPr>
                <w:rFonts w:hint="default"/>
                <w:color w:val="auto"/>
                <w:sz w:val="28"/>
                <w:szCs w:val="28"/>
              </w:rPr>
            </w:pPr>
          </w:p>
        </w:tc>
      </w:tr>
      <w:tr w14:paraId="7ED8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1E2B305D">
            <w:pPr>
              <w:tabs>
                <w:tab w:val="left" w:pos="-200"/>
              </w:tabs>
              <w:ind w:left="0" w:leftChars="0" w:firstLine="0" w:firstLineChars="0"/>
              <w:jc w:val="right"/>
              <w:rPr>
                <w:rFonts w:hint="default" w:eastAsia="宋体"/>
                <w:color w:val="auto"/>
                <w:sz w:val="28"/>
                <w:szCs w:val="28"/>
                <w:lang w:val="en-US" w:eastAsia="zh-CN"/>
              </w:rPr>
            </w:pPr>
            <w:r>
              <w:rPr>
                <w:rFonts w:hint="eastAsia"/>
                <w:color w:val="auto"/>
                <w:sz w:val="28"/>
                <w:szCs w:val="28"/>
                <w:lang w:val="en-US" w:eastAsia="zh-CN"/>
              </w:rPr>
              <w:t>财务处审核：</w:t>
            </w:r>
          </w:p>
        </w:tc>
        <w:tc>
          <w:tcPr>
            <w:tcW w:w="5207" w:type="dxa"/>
            <w:vAlign w:val="center"/>
          </w:tcPr>
          <w:p w14:paraId="3E99FB20">
            <w:pPr>
              <w:tabs>
                <w:tab w:val="left" w:pos="-200"/>
              </w:tabs>
              <w:ind w:left="0" w:leftChars="0" w:firstLine="0" w:firstLineChars="0"/>
              <w:jc w:val="left"/>
              <w:rPr>
                <w:rFonts w:hint="default"/>
                <w:color w:val="auto"/>
                <w:sz w:val="28"/>
                <w:szCs w:val="28"/>
                <w:lang w:eastAsia="zh-CN"/>
              </w:rPr>
            </w:pPr>
          </w:p>
        </w:tc>
      </w:tr>
    </w:tbl>
    <w:p w14:paraId="57A8F97D">
      <w:pPr>
        <w:tabs>
          <w:tab w:val="left" w:pos="-200"/>
        </w:tabs>
        <w:ind w:left="0" w:leftChars="0" w:firstLine="0" w:firstLineChars="0"/>
        <w:jc w:val="center"/>
        <w:rPr>
          <w:rFonts w:hint="eastAsia" w:ascii="微软雅黑" w:hAnsi="微软雅黑" w:eastAsia="微软雅黑" w:cs="微软雅黑"/>
          <w:b/>
          <w:bCs/>
          <w:color w:val="auto"/>
          <w:sz w:val="28"/>
          <w:szCs w:val="28"/>
        </w:rPr>
      </w:pPr>
    </w:p>
    <w:p w14:paraId="7F94D7B7">
      <w:pPr>
        <w:tabs>
          <w:tab w:val="left" w:pos="-200"/>
        </w:tabs>
        <w:ind w:left="0" w:leftChars="0" w:firstLine="0" w:firstLineChars="0"/>
        <w:jc w:val="center"/>
        <w:rPr>
          <w:rFonts w:hint="default"/>
          <w:color w:val="000000" w:themeColor="text1"/>
          <w:lang w:val="en-US"/>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r>
        <w:rPr>
          <w:rFonts w:hint="eastAsia" w:ascii="微软雅黑" w:hAnsi="微软雅黑" w:eastAsia="微软雅黑" w:cs="微软雅黑"/>
          <w:b/>
          <w:bCs/>
          <w:color w:val="auto"/>
          <w:sz w:val="28"/>
          <w:szCs w:val="28"/>
        </w:rPr>
        <w:t>20</w:t>
      </w:r>
      <w:r>
        <w:rPr>
          <w:rFonts w:hint="eastAsia" w:ascii="微软雅黑" w:hAnsi="微软雅黑" w:eastAsia="微软雅黑" w:cs="微软雅黑"/>
          <w:b/>
          <w:bCs/>
          <w:color w:val="auto"/>
          <w:sz w:val="28"/>
          <w:szCs w:val="28"/>
          <w:lang w:val="en-US" w:eastAsia="zh-CN"/>
        </w:rPr>
        <w:t>24.</w:t>
      </w:r>
      <w:bookmarkStart w:id="0" w:name="_Toc227057959"/>
      <w:bookmarkStart w:id="1" w:name="_Toc8505"/>
      <w:bookmarkStart w:id="2" w:name="_Toc226969353"/>
      <w:bookmarkStart w:id="3" w:name="_Toc415814133"/>
      <w:bookmarkStart w:id="4" w:name="_Toc107822570"/>
      <w:bookmarkStart w:id="5" w:name="_Toc514680868"/>
      <w:bookmarkStart w:id="6" w:name="_Toc1112982"/>
      <w:r>
        <w:rPr>
          <w:rFonts w:hint="eastAsia" w:ascii="微软雅黑" w:hAnsi="微软雅黑" w:eastAsia="微软雅黑" w:cs="微软雅黑"/>
          <w:b/>
          <w:bCs/>
          <w:color w:val="auto"/>
          <w:sz w:val="28"/>
          <w:szCs w:val="28"/>
          <w:lang w:val="en-US" w:eastAsia="zh-CN"/>
        </w:rPr>
        <w:t>12</w:t>
      </w:r>
    </w:p>
    <w:p w14:paraId="6DBD57FE">
      <w:pPr>
        <w:pStyle w:val="2"/>
        <w:tabs>
          <w:tab w:val="left" w:pos="-200"/>
          <w:tab w:val="left" w:pos="3652"/>
        </w:tabs>
        <w:spacing w:line="240" w:lineRule="auto"/>
        <w:ind w:left="0" w:leftChars="0" w:firstLine="0" w:firstLineChars="0"/>
        <w:rPr>
          <w:color w:val="000000" w:themeColor="text1"/>
          <w14:textFill>
            <w14:solidFill>
              <w14:schemeClr w14:val="tx1"/>
            </w14:solidFill>
          </w14:textFill>
        </w:rPr>
      </w:pPr>
      <w:bookmarkStart w:id="7" w:name="_Toc25372"/>
      <w:r>
        <w:rPr>
          <w:rFonts w:hint="eastAsia"/>
          <w:color w:val="000000" w:themeColor="text1"/>
          <w14:textFill>
            <w14:solidFill>
              <w14:schemeClr w14:val="tx1"/>
            </w14:solidFill>
          </w14:textFill>
        </w:rPr>
        <w:t xml:space="preserve">第一章  </w:t>
      </w:r>
      <w:bookmarkEnd w:id="0"/>
      <w:bookmarkEnd w:id="1"/>
      <w:bookmarkEnd w:id="2"/>
      <w:bookmarkEnd w:id="3"/>
      <w:bookmarkEnd w:id="4"/>
      <w:bookmarkEnd w:id="5"/>
      <w:r>
        <w:rPr>
          <w:rFonts w:hint="eastAsia"/>
          <w:color w:val="000000" w:themeColor="text1"/>
          <w14:textFill>
            <w14:solidFill>
              <w14:schemeClr w14:val="tx1"/>
            </w14:solidFill>
          </w14:textFill>
        </w:rPr>
        <w:t>建设内容、要求及技术指标</w:t>
      </w:r>
      <w:bookmarkEnd w:id="6"/>
      <w:bookmarkEnd w:id="7"/>
    </w:p>
    <w:p w14:paraId="2810E922">
      <w:pPr>
        <w:pStyle w:val="3"/>
        <w:numPr>
          <w:ilvl w:val="0"/>
          <w:numId w:val="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8" w:name="_Toc22550"/>
      <w:r>
        <w:rPr>
          <w:rFonts w:hint="eastAsia" w:ascii="宋体" w:hAnsi="宋体" w:eastAsia="宋体"/>
          <w:color w:val="000000" w:themeColor="text1"/>
          <w:sz w:val="21"/>
          <w:szCs w:val="21"/>
          <w14:textFill>
            <w14:solidFill>
              <w14:schemeClr w14:val="tx1"/>
            </w14:solidFill>
          </w14:textFill>
        </w:rPr>
        <w:t>建设内容</w:t>
      </w:r>
      <w:bookmarkEnd w:id="8"/>
    </w:p>
    <w:p w14:paraId="41D26210">
      <w:pPr>
        <w:pStyle w:val="3"/>
        <w:tabs>
          <w:tab w:val="left" w:pos="-200"/>
        </w:tabs>
        <w:spacing w:line="240" w:lineRule="auto"/>
        <w:ind w:left="0" w:leftChars="0" w:firstLine="0" w:firstLineChars="0"/>
        <w:rPr>
          <w:rFonts w:ascii="宋体" w:hAnsi="宋体" w:eastAsia="宋体"/>
          <w:color w:val="000000" w:themeColor="text1"/>
          <w:sz w:val="21"/>
          <w:szCs w:val="21"/>
          <w14:textFill>
            <w14:solidFill>
              <w14:schemeClr w14:val="tx1"/>
            </w14:solidFill>
          </w14:textFill>
        </w:rPr>
      </w:pPr>
      <w:bookmarkStart w:id="9" w:name="_Toc20916"/>
      <w:r>
        <w:rPr>
          <w:rFonts w:hint="eastAsia" w:ascii="宋体" w:hAnsi="宋体" w:eastAsia="宋体"/>
          <w:color w:val="000000" w:themeColor="text1"/>
          <w:sz w:val="21"/>
          <w:szCs w:val="21"/>
          <w14:textFill>
            <w14:solidFill>
              <w14:schemeClr w14:val="tx1"/>
            </w14:solidFill>
          </w14:textFill>
        </w:rPr>
        <w:t>1.1 汇总一览表</w:t>
      </w:r>
      <w:bookmarkEnd w:id="9"/>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165"/>
        <w:gridCol w:w="1484"/>
      </w:tblGrid>
      <w:tr w14:paraId="19E8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531" w:type="dxa"/>
            <w:vAlign w:val="center"/>
          </w:tcPr>
          <w:p w14:paraId="4ED89E6A">
            <w:pPr>
              <w:tabs>
                <w:tab w:val="left" w:pos="6105"/>
              </w:tabs>
              <w:spacing w:line="270" w:lineRule="exact"/>
              <w:jc w:val="center"/>
              <w:outlineLvl w:val="0"/>
              <w:rPr>
                <w:rFonts w:asciiTheme="minorEastAsia" w:hAnsiTheme="minorEastAsia" w:eastAsiaTheme="minorEastAsia"/>
                <w:b/>
                <w:bCs/>
                <w:szCs w:val="21"/>
              </w:rPr>
            </w:pPr>
            <w:r>
              <w:rPr>
                <w:rFonts w:hint="eastAsia" w:asciiTheme="minorEastAsia" w:hAnsiTheme="minorEastAsia" w:eastAsiaTheme="minorEastAsia"/>
                <w:b/>
                <w:bCs/>
                <w:szCs w:val="21"/>
              </w:rPr>
              <w:t>服务项目名称</w:t>
            </w:r>
          </w:p>
        </w:tc>
        <w:tc>
          <w:tcPr>
            <w:tcW w:w="6165" w:type="dxa"/>
            <w:vAlign w:val="center"/>
          </w:tcPr>
          <w:p w14:paraId="20FAC19D">
            <w:pPr>
              <w:tabs>
                <w:tab w:val="left" w:pos="6105"/>
              </w:tabs>
              <w:spacing w:line="270" w:lineRule="exact"/>
              <w:jc w:val="center"/>
              <w:outlineLvl w:val="0"/>
              <w:rPr>
                <w:rFonts w:asciiTheme="minorEastAsia" w:hAnsiTheme="minorEastAsia" w:eastAsiaTheme="minorEastAsia"/>
                <w:b/>
                <w:bCs/>
                <w:szCs w:val="21"/>
              </w:rPr>
            </w:pPr>
            <w:r>
              <w:rPr>
                <w:rFonts w:hint="eastAsia" w:asciiTheme="minorEastAsia" w:hAnsiTheme="minorEastAsia" w:eastAsiaTheme="minorEastAsia"/>
                <w:b/>
                <w:bCs/>
                <w:szCs w:val="21"/>
              </w:rPr>
              <w:t>服务内容</w:t>
            </w:r>
          </w:p>
        </w:tc>
        <w:tc>
          <w:tcPr>
            <w:tcW w:w="1484" w:type="dxa"/>
            <w:vAlign w:val="center"/>
          </w:tcPr>
          <w:p w14:paraId="4781256B">
            <w:pPr>
              <w:tabs>
                <w:tab w:val="left" w:pos="6105"/>
              </w:tabs>
              <w:spacing w:line="270" w:lineRule="exact"/>
              <w:jc w:val="center"/>
              <w:outlineLvl w:val="0"/>
              <w:rPr>
                <w:rFonts w:asciiTheme="minorEastAsia" w:hAnsiTheme="minorEastAsia" w:eastAsiaTheme="minorEastAsia"/>
                <w:b/>
                <w:bCs/>
                <w:szCs w:val="21"/>
              </w:rPr>
            </w:pPr>
            <w:r>
              <w:rPr>
                <w:rFonts w:hint="eastAsia" w:asciiTheme="minorEastAsia" w:hAnsiTheme="minorEastAsia" w:eastAsiaTheme="minorEastAsia"/>
                <w:b/>
                <w:bCs/>
                <w:szCs w:val="21"/>
              </w:rPr>
              <w:t>金额</w:t>
            </w:r>
          </w:p>
        </w:tc>
      </w:tr>
      <w:tr w14:paraId="557B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1531" w:type="dxa"/>
            <w:vAlign w:val="center"/>
          </w:tcPr>
          <w:p w14:paraId="2C710849">
            <w:pPr>
              <w:tabs>
                <w:tab w:val="left" w:pos="6105"/>
              </w:tabs>
              <w:spacing w:line="270" w:lineRule="exact"/>
              <w:jc w:val="center"/>
              <w:outlineLvl w:val="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医</w:t>
            </w:r>
            <w:r>
              <w:rPr>
                <w:rFonts w:hint="eastAsia" w:asciiTheme="minorEastAsia" w:hAnsiTheme="minorEastAsia" w:eastAsiaTheme="minorEastAsia"/>
                <w:sz w:val="21"/>
                <w:szCs w:val="21"/>
              </w:rPr>
              <w:t>疗费用电子票据管理</w:t>
            </w:r>
            <w:r>
              <w:rPr>
                <w:rFonts w:hint="eastAsia" w:asciiTheme="minorEastAsia" w:hAnsiTheme="minorEastAsia" w:eastAsiaTheme="minorEastAsia"/>
                <w:sz w:val="21"/>
                <w:szCs w:val="21"/>
                <w:lang w:val="en-US" w:eastAsia="zh-CN"/>
              </w:rPr>
              <w:t>平台运维服务</w:t>
            </w:r>
          </w:p>
        </w:tc>
        <w:tc>
          <w:tcPr>
            <w:tcW w:w="6165" w:type="dxa"/>
            <w:vAlign w:val="center"/>
          </w:tcPr>
          <w:p w14:paraId="5DA08F25">
            <w:pPr>
              <w:numPr>
                <w:ilvl w:val="0"/>
                <w:numId w:val="0"/>
              </w:numPr>
              <w:jc w:val="left"/>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对温州医科大学附属第二医院的医疗费用电子票据平台按照浙江省电子票据管理平台的技术要求进行升级与维护，兼容历史票据</w:t>
            </w:r>
          </w:p>
          <w:p w14:paraId="4A2A8C30">
            <w:pPr>
              <w:numPr>
                <w:ilvl w:val="0"/>
                <w:numId w:val="0"/>
              </w:numPr>
              <w:jc w:val="left"/>
              <w:rPr>
                <w:rFonts w:hint="default" w:asciiTheme="minorEastAsia" w:hAnsiTheme="minorEastAsia" w:eastAsiaTheme="minorEastAsia"/>
                <w:sz w:val="21"/>
                <w:szCs w:val="21"/>
                <w:lang w:val="en-US" w:eastAsia="zh-CN"/>
              </w:rPr>
            </w:pPr>
            <w:r>
              <w:rPr>
                <w:rFonts w:hint="eastAsia" w:cs="Times New Roman" w:asciiTheme="minorEastAsia" w:hAnsiTheme="minorEastAsia" w:eastAsiaTheme="minorEastAsia"/>
                <w:kern w:val="2"/>
                <w:sz w:val="21"/>
                <w:szCs w:val="21"/>
                <w:lang w:val="en-US" w:eastAsia="zh-CN" w:bidi="ar-SA"/>
              </w:rPr>
              <w:t>与省平台对接，实现医疗费用电子票据省级统筹管理与运行，进一步推进医疗费用电子票据的标准化管理。</w:t>
            </w:r>
          </w:p>
        </w:tc>
        <w:tc>
          <w:tcPr>
            <w:tcW w:w="1484" w:type="dxa"/>
            <w:vAlign w:val="center"/>
          </w:tcPr>
          <w:p w14:paraId="6D9B081D">
            <w:pPr>
              <w:tabs>
                <w:tab w:val="left" w:pos="6105"/>
              </w:tabs>
              <w:spacing w:line="270" w:lineRule="exact"/>
              <w:jc w:val="center"/>
              <w:outlineLvl w:val="0"/>
              <w:rPr>
                <w:rFonts w:asciiTheme="minorEastAsia" w:hAnsiTheme="minorEastAsia" w:eastAsiaTheme="minorEastAsia"/>
                <w:sz w:val="21"/>
                <w:szCs w:val="21"/>
              </w:rPr>
            </w:pPr>
          </w:p>
          <w:p w14:paraId="6F0644C8">
            <w:pPr>
              <w:tabs>
                <w:tab w:val="left" w:pos="6105"/>
              </w:tabs>
              <w:spacing w:line="270" w:lineRule="exact"/>
              <w:jc w:val="center"/>
              <w:outlineLvl w:val="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u w:val="single"/>
                <w:lang w:val="en-US" w:eastAsia="zh-CN"/>
              </w:rPr>
              <w:t>30000</w:t>
            </w:r>
            <w:r>
              <w:rPr>
                <w:rFonts w:hint="eastAsia" w:asciiTheme="minorEastAsia" w:hAnsiTheme="minorEastAsia" w:eastAsiaTheme="minorEastAsia"/>
                <w:sz w:val="21"/>
                <w:szCs w:val="21"/>
              </w:rPr>
              <w:t>元/年</w:t>
            </w:r>
          </w:p>
        </w:tc>
      </w:tr>
      <w:tr w14:paraId="6F6D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531" w:type="dxa"/>
            <w:vAlign w:val="center"/>
          </w:tcPr>
          <w:p w14:paraId="4FCB86C7">
            <w:pPr>
              <w:tabs>
                <w:tab w:val="left" w:pos="6105"/>
              </w:tabs>
              <w:spacing w:line="270" w:lineRule="exact"/>
              <w:jc w:val="center"/>
              <w:outlineLvl w:val="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含税金额</w:t>
            </w:r>
          </w:p>
        </w:tc>
        <w:tc>
          <w:tcPr>
            <w:tcW w:w="6165" w:type="dxa"/>
            <w:vAlign w:val="center"/>
          </w:tcPr>
          <w:p w14:paraId="605A8C79">
            <w:pPr>
              <w:tabs>
                <w:tab w:val="left" w:pos="6105"/>
              </w:tabs>
              <w:spacing w:line="270" w:lineRule="exact"/>
              <w:ind w:left="-118" w:leftChars="-56" w:firstLine="211" w:firstLineChars="100"/>
              <w:jc w:val="left"/>
              <w:outlineLvl w:val="0"/>
              <w:rPr>
                <w:rFonts w:hint="default" w:asciiTheme="minorEastAsia" w:hAnsiTheme="minorEastAsia" w:eastAsiaTheme="minorEastAsia"/>
                <w:b/>
                <w:sz w:val="21"/>
                <w:szCs w:val="21"/>
                <w:lang w:val="en-US"/>
              </w:rPr>
            </w:pPr>
            <w:r>
              <w:rPr>
                <w:rFonts w:hint="eastAsia" w:asciiTheme="minorEastAsia" w:hAnsiTheme="minorEastAsia" w:eastAsiaTheme="minorEastAsia"/>
                <w:b/>
                <w:sz w:val="21"/>
                <w:szCs w:val="21"/>
              </w:rPr>
              <w:t>大写：</w:t>
            </w:r>
            <w:r>
              <w:rPr>
                <w:rFonts w:hint="eastAsia" w:asciiTheme="minorEastAsia" w:hAnsiTheme="minorEastAsia" w:eastAsiaTheme="minorEastAsia"/>
                <w:b/>
                <w:sz w:val="21"/>
                <w:szCs w:val="21"/>
                <w:u w:val="single"/>
                <w:lang w:val="en-US" w:eastAsia="zh-CN"/>
              </w:rPr>
              <w:t xml:space="preserve"> 叁万元整     </w:t>
            </w:r>
          </w:p>
        </w:tc>
        <w:tc>
          <w:tcPr>
            <w:tcW w:w="1484" w:type="dxa"/>
            <w:tcBorders>
              <w:top w:val="single" w:color="auto" w:sz="4" w:space="0"/>
              <w:bottom w:val="single" w:color="auto" w:sz="4" w:space="0"/>
            </w:tcBorders>
            <w:vAlign w:val="center"/>
          </w:tcPr>
          <w:p w14:paraId="4E815EF0">
            <w:pPr>
              <w:tabs>
                <w:tab w:val="left" w:pos="6105"/>
              </w:tabs>
              <w:spacing w:line="270" w:lineRule="exact"/>
              <w:jc w:val="left"/>
              <w:outlineLvl w:val="0"/>
              <w:rPr>
                <w:rFonts w:asciiTheme="minorEastAsia" w:hAnsiTheme="minorEastAsia" w:eastAsiaTheme="minorEastAsia"/>
                <w:b/>
                <w:sz w:val="21"/>
                <w:szCs w:val="21"/>
              </w:rPr>
            </w:pPr>
            <w:r>
              <w:rPr>
                <w:rFonts w:hint="eastAsia" w:asciiTheme="minorEastAsia" w:hAnsiTheme="minorEastAsia" w:eastAsiaTheme="minorEastAsia"/>
                <w:b/>
                <w:sz w:val="21"/>
                <w:szCs w:val="21"/>
              </w:rPr>
              <w:t>￥</w:t>
            </w:r>
            <w:r>
              <w:rPr>
                <w:rFonts w:hint="eastAsia" w:asciiTheme="minorEastAsia" w:hAnsiTheme="minorEastAsia" w:eastAsiaTheme="minorEastAsia"/>
                <w:b/>
                <w:sz w:val="21"/>
                <w:szCs w:val="21"/>
                <w:u w:val="single"/>
                <w:lang w:val="en-US" w:eastAsia="zh-CN"/>
              </w:rPr>
              <w:t xml:space="preserve">30000 </w:t>
            </w:r>
            <w:r>
              <w:rPr>
                <w:rFonts w:hint="eastAsia" w:asciiTheme="minorEastAsia" w:hAnsiTheme="minorEastAsia" w:eastAsiaTheme="minorEastAsia"/>
                <w:b/>
                <w:sz w:val="21"/>
                <w:szCs w:val="21"/>
              </w:rPr>
              <w:t>元</w:t>
            </w:r>
          </w:p>
        </w:tc>
      </w:tr>
    </w:tbl>
    <w:p w14:paraId="356F2809">
      <w:pPr>
        <w:pStyle w:val="3"/>
        <w:tabs>
          <w:tab w:val="left" w:pos="-200"/>
        </w:tabs>
        <w:spacing w:line="240" w:lineRule="auto"/>
        <w:ind w:left="0" w:leftChars="0" w:firstLine="0" w:firstLineChars="0"/>
        <w:rPr>
          <w:rFonts w:hint="eastAsia" w:ascii="宋体" w:hAnsi="宋体" w:eastAsia="宋体"/>
          <w:color w:val="000000" w:themeColor="text1"/>
          <w:sz w:val="21"/>
          <w:szCs w:val="21"/>
          <w14:textFill>
            <w14:solidFill>
              <w14:schemeClr w14:val="tx1"/>
            </w14:solidFill>
          </w14:textFill>
        </w:rPr>
      </w:pPr>
    </w:p>
    <w:p w14:paraId="5DF8D60A">
      <w:pPr>
        <w:pStyle w:val="3"/>
        <w:tabs>
          <w:tab w:val="left" w:pos="-200"/>
        </w:tabs>
        <w:spacing w:line="240" w:lineRule="auto"/>
        <w:ind w:left="0" w:leftChars="0" w:firstLine="0" w:firstLineChars="0"/>
        <w:rPr>
          <w:rFonts w:hint="default" w:eastAsia="宋体"/>
          <w:lang w:val="en-US" w:eastAsia="zh-CN"/>
        </w:rPr>
      </w:pPr>
      <w:bookmarkStart w:id="10" w:name="_Toc2212"/>
      <w:r>
        <w:rPr>
          <w:rFonts w:hint="eastAsia"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lang w:val="en-US" w:eastAsia="zh-CN"/>
          <w14:textFill>
            <w14:solidFill>
              <w14:schemeClr w14:val="tx1"/>
            </w14:solidFill>
          </w14:textFill>
        </w:rPr>
        <w:t>2</w:t>
      </w:r>
      <w:r>
        <w:rPr>
          <w:rFonts w:hint="eastAsia"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lang w:val="en-US" w:eastAsia="zh-CN"/>
          <w14:textFill>
            <w14:solidFill>
              <w14:schemeClr w14:val="tx1"/>
            </w14:solidFill>
          </w14:textFill>
        </w:rPr>
        <w:t>电子发票服务</w:t>
      </w:r>
      <w:bookmarkEnd w:id="10"/>
      <w:r>
        <w:rPr>
          <w:rFonts w:hint="eastAsia" w:ascii="宋体" w:hAnsi="宋体" w:eastAsia="宋体"/>
          <w:color w:val="000000" w:themeColor="text1"/>
          <w:sz w:val="21"/>
          <w:szCs w:val="21"/>
          <w:lang w:val="en-US" w:eastAsia="zh-CN"/>
          <w14:textFill>
            <w14:solidFill>
              <w14:schemeClr w14:val="tx1"/>
            </w14:solidFill>
          </w14:textFill>
        </w:rPr>
        <w:t>要求</w:t>
      </w:r>
    </w:p>
    <w:tbl>
      <w:tblPr>
        <w:tblStyle w:val="11"/>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695"/>
        <w:gridCol w:w="2185"/>
        <w:gridCol w:w="4824"/>
      </w:tblGrid>
      <w:tr w14:paraId="3A99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04D842C0">
            <w:pPr>
              <w:jc w:val="center"/>
              <w:rPr>
                <w:rFonts w:hint="eastAsia" w:ascii="宋体" w:hAnsi="宋体" w:eastAsia="宋体"/>
                <w:b/>
                <w:bCs/>
                <w:lang w:val="en-US" w:eastAsia="zh-CN"/>
              </w:rPr>
            </w:pPr>
            <w:r>
              <w:rPr>
                <w:rFonts w:hint="eastAsia" w:ascii="宋体" w:hAnsi="宋体"/>
                <w:b/>
                <w:bCs/>
                <w:lang w:val="en-US" w:eastAsia="zh-CN"/>
              </w:rPr>
              <w:t>序号</w:t>
            </w:r>
          </w:p>
        </w:tc>
        <w:tc>
          <w:tcPr>
            <w:tcW w:w="1695" w:type="dxa"/>
            <w:tcBorders>
              <w:top w:val="single" w:color="auto" w:sz="4" w:space="0"/>
              <w:left w:val="single" w:color="auto" w:sz="4" w:space="0"/>
              <w:bottom w:val="single" w:color="auto" w:sz="4" w:space="0"/>
              <w:right w:val="single" w:color="auto" w:sz="4" w:space="0"/>
            </w:tcBorders>
            <w:vAlign w:val="center"/>
          </w:tcPr>
          <w:p w14:paraId="0AB15B38">
            <w:pPr>
              <w:jc w:val="center"/>
              <w:rPr>
                <w:rFonts w:hint="default" w:ascii="宋体" w:hAnsi="宋体"/>
                <w:b/>
                <w:bCs/>
                <w:lang w:val="en-US" w:eastAsia="zh-CN"/>
              </w:rPr>
            </w:pPr>
            <w:r>
              <w:rPr>
                <w:rFonts w:hint="eastAsia" w:ascii="宋体" w:hAnsi="宋体"/>
                <w:b/>
                <w:bCs/>
                <w:lang w:val="en-US" w:eastAsia="zh-CN"/>
              </w:rPr>
              <w:t>分类</w:t>
            </w:r>
          </w:p>
        </w:tc>
        <w:tc>
          <w:tcPr>
            <w:tcW w:w="2185" w:type="dxa"/>
            <w:tcBorders>
              <w:top w:val="single" w:color="auto" w:sz="4" w:space="0"/>
              <w:left w:val="single" w:color="auto" w:sz="4" w:space="0"/>
              <w:bottom w:val="single" w:color="auto" w:sz="4" w:space="0"/>
              <w:right w:val="single" w:color="auto" w:sz="4" w:space="0"/>
            </w:tcBorders>
            <w:vAlign w:val="center"/>
          </w:tcPr>
          <w:p w14:paraId="309D71EE">
            <w:pPr>
              <w:jc w:val="center"/>
              <w:rPr>
                <w:rFonts w:hint="default" w:ascii="宋体" w:hAnsi="宋体" w:eastAsia="宋体"/>
                <w:b/>
                <w:bCs/>
                <w:lang w:val="en-US" w:eastAsia="zh-CN"/>
              </w:rPr>
            </w:pPr>
            <w:r>
              <w:rPr>
                <w:rFonts w:hint="eastAsia" w:ascii="宋体" w:hAnsi="宋体"/>
                <w:b/>
                <w:bCs/>
                <w:lang w:val="en-US" w:eastAsia="zh-CN"/>
              </w:rPr>
              <w:t>模块</w:t>
            </w:r>
          </w:p>
        </w:tc>
        <w:tc>
          <w:tcPr>
            <w:tcW w:w="4824" w:type="dxa"/>
            <w:tcBorders>
              <w:top w:val="single" w:color="auto" w:sz="4" w:space="0"/>
              <w:left w:val="single" w:color="auto" w:sz="4" w:space="0"/>
              <w:bottom w:val="single" w:color="auto" w:sz="4" w:space="0"/>
              <w:right w:val="single" w:color="auto" w:sz="4" w:space="0"/>
            </w:tcBorders>
            <w:vAlign w:val="center"/>
          </w:tcPr>
          <w:p w14:paraId="2CAADD69">
            <w:pPr>
              <w:jc w:val="center"/>
              <w:rPr>
                <w:rFonts w:hint="default" w:ascii="宋体" w:hAnsi="宋体" w:eastAsia="宋体"/>
                <w:b/>
                <w:bCs/>
                <w:lang w:val="en-US" w:eastAsia="zh-CN"/>
              </w:rPr>
            </w:pPr>
            <w:r>
              <w:rPr>
                <w:rFonts w:hint="eastAsia" w:ascii="宋体" w:hAnsi="宋体"/>
                <w:b/>
                <w:bCs/>
                <w:lang w:val="en-US" w:eastAsia="zh-CN"/>
              </w:rPr>
              <w:t>功能</w:t>
            </w:r>
          </w:p>
        </w:tc>
      </w:tr>
      <w:tr w14:paraId="262B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restart"/>
            <w:tcBorders>
              <w:top w:val="single" w:color="auto" w:sz="4" w:space="0"/>
              <w:left w:val="single" w:color="auto" w:sz="4" w:space="0"/>
              <w:right w:val="single" w:color="auto" w:sz="4" w:space="0"/>
            </w:tcBorders>
            <w:vAlign w:val="center"/>
          </w:tcPr>
          <w:p w14:paraId="1FD0CF34">
            <w:pPr>
              <w:jc w:val="center"/>
              <w:rPr>
                <w:rFonts w:hint="default" w:ascii="宋体" w:hAnsi="宋体" w:eastAsia="宋体"/>
                <w:lang w:val="en-US" w:eastAsia="zh-CN"/>
              </w:rPr>
            </w:pPr>
            <w:r>
              <w:rPr>
                <w:rFonts w:hint="eastAsia" w:ascii="宋体" w:hAnsi="宋体"/>
                <w:lang w:val="en-US" w:eastAsia="zh-CN"/>
              </w:rPr>
              <w:t>1</w:t>
            </w:r>
          </w:p>
        </w:tc>
        <w:tc>
          <w:tcPr>
            <w:tcW w:w="1695" w:type="dxa"/>
            <w:vMerge w:val="restart"/>
            <w:tcBorders>
              <w:top w:val="single" w:color="auto" w:sz="4" w:space="0"/>
              <w:left w:val="single" w:color="auto" w:sz="4" w:space="0"/>
              <w:right w:val="single" w:color="auto" w:sz="4" w:space="0"/>
            </w:tcBorders>
            <w:vAlign w:val="center"/>
          </w:tcPr>
          <w:p w14:paraId="709D4084">
            <w:pPr>
              <w:jc w:val="center"/>
              <w:rPr>
                <w:rFonts w:hint="default" w:ascii="宋体" w:hAnsi="宋体" w:eastAsia="宋体"/>
                <w:lang w:val="en-US" w:eastAsia="zh-CN"/>
              </w:rPr>
            </w:pPr>
            <w:r>
              <w:rPr>
                <w:rFonts w:hint="eastAsia" w:ascii="宋体" w:hAnsi="宋体"/>
                <w:lang w:val="en-US" w:eastAsia="zh-CN"/>
              </w:rPr>
              <w:t>软件要求</w:t>
            </w:r>
          </w:p>
        </w:tc>
        <w:tc>
          <w:tcPr>
            <w:tcW w:w="2185" w:type="dxa"/>
            <w:tcBorders>
              <w:top w:val="single" w:color="auto" w:sz="4" w:space="0"/>
              <w:left w:val="single" w:color="auto" w:sz="4" w:space="0"/>
              <w:bottom w:val="single" w:color="auto" w:sz="4" w:space="0"/>
              <w:right w:val="single" w:color="auto" w:sz="4" w:space="0"/>
            </w:tcBorders>
            <w:vAlign w:val="center"/>
          </w:tcPr>
          <w:p w14:paraId="37D28E1B">
            <w:pPr>
              <w:jc w:val="center"/>
              <w:rPr>
                <w:rFonts w:ascii="宋体" w:hAnsi="宋体"/>
              </w:rPr>
            </w:pPr>
            <w:r>
              <w:rPr>
                <w:rFonts w:hint="eastAsia" w:ascii="宋体" w:hAnsi="宋体" w:cs="宋体"/>
                <w:sz w:val="24"/>
                <w:lang w:val="zh-CN"/>
              </w:rPr>
              <w:t>电子票据申领</w:t>
            </w:r>
          </w:p>
        </w:tc>
        <w:tc>
          <w:tcPr>
            <w:tcW w:w="4824" w:type="dxa"/>
            <w:tcBorders>
              <w:top w:val="single" w:color="auto" w:sz="4" w:space="0"/>
              <w:left w:val="single" w:color="auto" w:sz="4" w:space="0"/>
              <w:bottom w:val="single" w:color="auto" w:sz="4" w:space="0"/>
              <w:right w:val="single" w:color="auto" w:sz="4" w:space="0"/>
            </w:tcBorders>
            <w:vAlign w:val="center"/>
          </w:tcPr>
          <w:p w14:paraId="1982EF84">
            <w:pPr>
              <w:spacing w:line="460" w:lineRule="exact"/>
              <w:ind w:firstLine="480" w:firstLineChars="200"/>
              <w:rPr>
                <w:rFonts w:ascii="宋体" w:hAnsi="宋体"/>
              </w:rPr>
            </w:pPr>
            <w:r>
              <w:rPr>
                <w:rFonts w:hint="eastAsia" w:ascii="宋体" w:hAnsi="宋体" w:cs="宋体"/>
                <w:sz w:val="24"/>
                <w:lang w:val="zh-CN"/>
              </w:rPr>
              <w:t>医疗机构按年度一次性向省财政厅申领年度所需的票据号段数量，由省财政厅审核后下发给医疗机构。设立票号库存预警机制，当医疗机构未使用票号库存低于一定数量时，发送预警消息提醒业务人员再次申领票据号段。</w:t>
            </w:r>
          </w:p>
        </w:tc>
      </w:tr>
      <w:tr w14:paraId="7ED1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14:paraId="7EBB66DB">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14:paraId="51AFC64A">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14:paraId="00B70D26">
            <w:pPr>
              <w:jc w:val="center"/>
              <w:rPr>
                <w:rFonts w:ascii="宋体" w:hAnsi="宋体"/>
              </w:rPr>
            </w:pPr>
            <w:r>
              <w:rPr>
                <w:rFonts w:hint="eastAsia" w:ascii="宋体" w:hAnsi="宋体" w:cs="宋体"/>
                <w:sz w:val="24"/>
                <w:lang w:val="zh-CN"/>
              </w:rPr>
              <w:t>电子票据开具</w:t>
            </w:r>
          </w:p>
        </w:tc>
        <w:tc>
          <w:tcPr>
            <w:tcW w:w="4824" w:type="dxa"/>
            <w:tcBorders>
              <w:top w:val="single" w:color="auto" w:sz="4" w:space="0"/>
              <w:left w:val="single" w:color="auto" w:sz="4" w:space="0"/>
              <w:bottom w:val="single" w:color="auto" w:sz="4" w:space="0"/>
              <w:right w:val="single" w:color="auto" w:sz="4" w:space="0"/>
            </w:tcBorders>
            <w:vAlign w:val="center"/>
          </w:tcPr>
          <w:p w14:paraId="22A84F11">
            <w:pPr>
              <w:numPr>
                <w:ilvl w:val="0"/>
                <w:numId w:val="2"/>
              </w:numPr>
              <w:spacing w:line="460" w:lineRule="exact"/>
              <w:ind w:firstLine="480" w:firstLineChars="200"/>
              <w:rPr>
                <w:rFonts w:hint="eastAsia" w:ascii="宋体" w:hAnsi="宋体" w:cs="宋体"/>
                <w:sz w:val="24"/>
                <w:lang w:val="zh-CN"/>
              </w:rPr>
            </w:pPr>
            <w:r>
              <w:rPr>
                <w:rFonts w:hint="eastAsia" w:ascii="宋体" w:hAnsi="宋体" w:cs="宋体"/>
                <w:sz w:val="24"/>
                <w:lang w:val="zh-CN"/>
              </w:rPr>
              <w:t>医疗机构的医疗收费结算数据通过HIS系统上传到电子票据开票系统申请开票。</w:t>
            </w:r>
          </w:p>
          <w:p w14:paraId="54A0DBAA">
            <w:pPr>
              <w:numPr>
                <w:ilvl w:val="0"/>
                <w:numId w:val="2"/>
              </w:numPr>
              <w:spacing w:line="460" w:lineRule="exact"/>
              <w:ind w:firstLine="480" w:firstLineChars="200"/>
              <w:rPr>
                <w:rFonts w:ascii="宋体" w:hAnsi="宋体"/>
              </w:rPr>
            </w:pPr>
            <w:r>
              <w:rPr>
                <w:rFonts w:hint="eastAsia" w:ascii="宋体" w:hAnsi="宋体" w:cs="宋体"/>
                <w:sz w:val="24"/>
                <w:lang w:val="zh-CN"/>
              </w:rPr>
              <w:t>电子票据开票系统对数据校验成功后进行赋码，同时加盖单位电子签名，上传开具的电子票据数据至财政电子票据管理系统。</w:t>
            </w:r>
          </w:p>
          <w:p w14:paraId="011B9183">
            <w:pPr>
              <w:numPr>
                <w:ilvl w:val="0"/>
                <w:numId w:val="2"/>
              </w:numPr>
              <w:spacing w:line="460" w:lineRule="exact"/>
              <w:ind w:firstLine="480" w:firstLineChars="200"/>
              <w:rPr>
                <w:rFonts w:ascii="宋体" w:hAnsi="宋体"/>
              </w:rPr>
            </w:pPr>
            <w:r>
              <w:rPr>
                <w:rFonts w:hint="eastAsia" w:ascii="宋体" w:hAnsi="宋体" w:cs="宋体"/>
                <w:sz w:val="24"/>
                <w:lang w:val="zh-CN"/>
              </w:rPr>
              <w:t>财政电子票据管理系统对电子票据数据单位签名验签通过后进行财政签名，同时加盖单位章和财政监制章，生成合法的电子票据数据和PDF版式文件。</w:t>
            </w:r>
          </w:p>
        </w:tc>
      </w:tr>
      <w:tr w14:paraId="0251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14:paraId="4A3BBB7C">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14:paraId="17652AAE">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14:paraId="7D812FAE">
            <w:pPr>
              <w:jc w:val="center"/>
              <w:rPr>
                <w:rFonts w:ascii="宋体" w:hAnsi="宋体"/>
              </w:rPr>
            </w:pPr>
            <w:r>
              <w:rPr>
                <w:rFonts w:hint="eastAsia" w:ascii="宋体" w:hAnsi="宋体" w:cs="宋体"/>
                <w:sz w:val="24"/>
                <w:lang w:val="zh-CN"/>
              </w:rPr>
              <w:t>电子票据打印</w:t>
            </w:r>
          </w:p>
        </w:tc>
        <w:tc>
          <w:tcPr>
            <w:tcW w:w="4824" w:type="dxa"/>
            <w:tcBorders>
              <w:top w:val="single" w:color="auto" w:sz="4" w:space="0"/>
              <w:left w:val="single" w:color="auto" w:sz="4" w:space="0"/>
              <w:bottom w:val="single" w:color="auto" w:sz="4" w:space="0"/>
              <w:right w:val="single" w:color="auto" w:sz="4" w:space="0"/>
            </w:tcBorders>
            <w:vAlign w:val="center"/>
          </w:tcPr>
          <w:p w14:paraId="10C0EBE1">
            <w:pPr>
              <w:numPr>
                <w:ilvl w:val="0"/>
                <w:numId w:val="3"/>
              </w:numPr>
              <w:spacing w:line="460" w:lineRule="exact"/>
              <w:ind w:firstLine="480" w:firstLineChars="200"/>
              <w:rPr>
                <w:rFonts w:hint="eastAsia" w:ascii="宋体" w:hAnsi="宋体" w:cs="宋体"/>
                <w:sz w:val="24"/>
                <w:lang w:val="zh-CN"/>
              </w:rPr>
            </w:pPr>
            <w:r>
              <w:rPr>
                <w:rFonts w:hint="eastAsia" w:ascii="宋体" w:hAnsi="宋体" w:cs="宋体"/>
                <w:sz w:val="24"/>
                <w:lang w:val="zh-CN"/>
              </w:rPr>
              <w:t>自助机打印方式：患者可以在票据自助打印机上刷身份证/社保卡/就诊卡查询已开具的电子票据，选择需打印的电子票据打印票据；或者患者凭收费小票上的二维码到票据自助打印机扫码进行打印电子票据。</w:t>
            </w:r>
          </w:p>
          <w:p w14:paraId="37B0F80F">
            <w:pPr>
              <w:numPr>
                <w:ilvl w:val="0"/>
                <w:numId w:val="3"/>
              </w:numPr>
              <w:spacing w:line="460" w:lineRule="exact"/>
              <w:ind w:firstLine="480" w:firstLineChars="200"/>
              <w:rPr>
                <w:rFonts w:hint="eastAsia" w:ascii="宋体" w:hAnsi="宋体" w:cs="宋体"/>
                <w:b/>
                <w:bCs/>
                <w:sz w:val="24"/>
              </w:rPr>
            </w:pPr>
            <w:r>
              <w:rPr>
                <w:rFonts w:hint="eastAsia" w:ascii="宋体" w:hAnsi="宋体" w:cs="宋体"/>
                <w:sz w:val="24"/>
                <w:lang w:val="zh-CN"/>
              </w:rPr>
              <w:t>窗口打印方式：患者如需在窗口领取电子票据复印件，窗口业务人员根据患者信息在系统中查询已开具的票据信息后，打印患者电子票据交给患者。</w:t>
            </w:r>
          </w:p>
          <w:p w14:paraId="32553277">
            <w:pPr>
              <w:numPr>
                <w:ilvl w:val="0"/>
                <w:numId w:val="3"/>
              </w:numPr>
              <w:spacing w:line="460" w:lineRule="exact"/>
              <w:ind w:firstLine="480" w:firstLineChars="200"/>
              <w:rPr>
                <w:rFonts w:ascii="宋体" w:hAnsi="宋体"/>
              </w:rPr>
            </w:pPr>
            <w:r>
              <w:rPr>
                <w:rFonts w:hint="eastAsia" w:ascii="宋体" w:hAnsi="宋体" w:cs="宋体"/>
                <w:sz w:val="24"/>
                <w:lang w:val="zh-CN"/>
              </w:rPr>
              <w:t>离线情况下交付方式：如果医疗机构网络无法连接财政网络等不能获取电子票据版式文件的情况下，由医疗机构自行生成并打印电子票据指引单交付给患者，患者可以按照电子票据指引单说明获取电子票据自行打印。</w:t>
            </w:r>
          </w:p>
        </w:tc>
      </w:tr>
      <w:tr w14:paraId="0CE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14:paraId="25BC5A73">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14:paraId="3DDD0594">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14:paraId="2EA5064E">
            <w:pPr>
              <w:jc w:val="center"/>
              <w:rPr>
                <w:rFonts w:ascii="宋体" w:hAnsi="宋体"/>
              </w:rPr>
            </w:pPr>
            <w:r>
              <w:rPr>
                <w:rFonts w:hint="eastAsia" w:ascii="宋体" w:hAnsi="宋体" w:cs="宋体"/>
                <w:sz w:val="24"/>
                <w:lang w:val="zh-CN"/>
              </w:rPr>
              <w:t>电子票据交付</w:t>
            </w:r>
          </w:p>
        </w:tc>
        <w:tc>
          <w:tcPr>
            <w:tcW w:w="4824" w:type="dxa"/>
            <w:tcBorders>
              <w:top w:val="single" w:color="auto" w:sz="4" w:space="0"/>
              <w:left w:val="single" w:color="auto" w:sz="4" w:space="0"/>
              <w:bottom w:val="single" w:color="auto" w:sz="4" w:space="0"/>
              <w:right w:val="single" w:color="auto" w:sz="4" w:space="0"/>
            </w:tcBorders>
            <w:vAlign w:val="center"/>
          </w:tcPr>
          <w:p w14:paraId="1262E173">
            <w:pPr>
              <w:numPr>
                <w:ilvl w:val="0"/>
                <w:numId w:val="4"/>
              </w:numPr>
              <w:spacing w:line="460" w:lineRule="exact"/>
              <w:ind w:firstLine="480" w:firstLineChars="200"/>
              <w:rPr>
                <w:rFonts w:hint="eastAsia" w:ascii="宋体" w:hAnsi="宋体" w:cs="宋体"/>
                <w:sz w:val="24"/>
                <w:lang w:val="zh-CN"/>
              </w:rPr>
            </w:pPr>
            <w:r>
              <w:rPr>
                <w:rFonts w:hint="eastAsia" w:ascii="宋体" w:hAnsi="宋体" w:cs="宋体"/>
                <w:sz w:val="24"/>
                <w:lang w:val="en-US" w:eastAsia="zh-CN"/>
              </w:rPr>
              <w:t>自助终端交付</w:t>
            </w:r>
            <w:r>
              <w:rPr>
                <w:rFonts w:hint="eastAsia" w:ascii="宋体" w:hAnsi="宋体" w:cs="宋体"/>
                <w:sz w:val="24"/>
                <w:lang w:val="zh-CN"/>
              </w:rPr>
              <w:t>：缴款人缴费结算后，HIS系统上传缴费数据后自动开具电子票据，缴款人</w:t>
            </w:r>
            <w:r>
              <w:rPr>
                <w:rFonts w:hint="eastAsia" w:ascii="宋体" w:hAnsi="宋体" w:cs="宋体"/>
                <w:sz w:val="24"/>
                <w:lang w:val="en-US" w:eastAsia="zh-CN"/>
              </w:rPr>
              <w:t>可通过身份证、社保卡等介质进行打印</w:t>
            </w:r>
            <w:r>
              <w:rPr>
                <w:rFonts w:hint="eastAsia" w:ascii="宋体" w:hAnsi="宋体" w:cs="宋体"/>
                <w:sz w:val="24"/>
                <w:lang w:val="zh-CN"/>
              </w:rPr>
              <w:t>。</w:t>
            </w:r>
          </w:p>
          <w:p w14:paraId="1F5EA165">
            <w:pPr>
              <w:numPr>
                <w:ilvl w:val="0"/>
                <w:numId w:val="4"/>
              </w:numPr>
              <w:spacing w:line="460" w:lineRule="exact"/>
              <w:ind w:firstLine="480" w:firstLineChars="200"/>
              <w:rPr>
                <w:rFonts w:hint="eastAsia" w:ascii="宋体" w:hAnsi="宋体" w:cs="宋体"/>
                <w:b/>
                <w:bCs/>
                <w:sz w:val="24"/>
              </w:rPr>
            </w:pPr>
            <w:r>
              <w:rPr>
                <w:rFonts w:hint="eastAsia" w:ascii="宋体" w:hAnsi="宋体" w:cs="宋体"/>
                <w:sz w:val="24"/>
                <w:lang w:val="zh-CN"/>
              </w:rPr>
              <w:t>浙里办APP交付：缴款人登录浙里办APP-&gt;检索财政电子票据-&gt;打开财政电子票据应用-&gt;点击我的票据，可查看本人所有的电子票据信息，选择票据可下载电子票据版式文件保存到本地。</w:t>
            </w:r>
          </w:p>
          <w:p w14:paraId="7926137C">
            <w:pPr>
              <w:numPr>
                <w:ilvl w:val="0"/>
                <w:numId w:val="4"/>
              </w:numPr>
              <w:spacing w:line="460" w:lineRule="exact"/>
              <w:ind w:firstLine="480" w:firstLineChars="200"/>
              <w:rPr>
                <w:rFonts w:hint="eastAsia" w:ascii="宋体" w:hAnsi="宋体" w:eastAsia="宋体"/>
                <w:lang w:eastAsia="zh-CN"/>
              </w:rPr>
            </w:pPr>
            <w:r>
              <w:rPr>
                <w:rFonts w:hint="eastAsia" w:ascii="宋体" w:hAnsi="宋体" w:cs="宋体"/>
                <w:sz w:val="24"/>
                <w:lang w:val="zh-CN"/>
              </w:rPr>
              <w:t>公众号交付：医疗机构开具电子票据后，实时把电子票据数据推送到医院微信公众号，缴款人可登录医院微信公众号查看本人所有的电子票据信息。</w:t>
            </w:r>
          </w:p>
        </w:tc>
      </w:tr>
      <w:tr w14:paraId="5D6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14:paraId="453BA333">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14:paraId="75EDC0B5">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14:paraId="52379D22">
            <w:pPr>
              <w:jc w:val="center"/>
              <w:rPr>
                <w:rFonts w:ascii="宋体" w:hAnsi="宋体"/>
              </w:rPr>
            </w:pPr>
            <w:r>
              <w:rPr>
                <w:rFonts w:hint="eastAsia" w:ascii="宋体" w:hAnsi="宋体" w:cs="宋体"/>
                <w:sz w:val="24"/>
                <w:lang w:val="zh-CN"/>
              </w:rPr>
              <w:t>电子票据冲红</w:t>
            </w:r>
          </w:p>
        </w:tc>
        <w:tc>
          <w:tcPr>
            <w:tcW w:w="4824" w:type="dxa"/>
            <w:tcBorders>
              <w:top w:val="single" w:color="auto" w:sz="4" w:space="0"/>
              <w:left w:val="single" w:color="auto" w:sz="4" w:space="0"/>
              <w:bottom w:val="single" w:color="auto" w:sz="4" w:space="0"/>
              <w:right w:val="single" w:color="auto" w:sz="4" w:space="0"/>
            </w:tcBorders>
            <w:vAlign w:val="center"/>
          </w:tcPr>
          <w:p w14:paraId="364E576C">
            <w:pPr>
              <w:numPr>
                <w:ilvl w:val="0"/>
                <w:numId w:val="5"/>
              </w:numPr>
              <w:spacing w:line="460" w:lineRule="exact"/>
              <w:ind w:firstLine="480" w:firstLineChars="200"/>
              <w:rPr>
                <w:rFonts w:hint="eastAsia" w:ascii="宋体" w:hAnsi="宋体" w:cs="宋体"/>
                <w:sz w:val="24"/>
                <w:lang w:val="zh-CN"/>
              </w:rPr>
            </w:pPr>
            <w:r>
              <w:rPr>
                <w:rFonts w:hint="eastAsia" w:ascii="宋体" w:hAnsi="宋体" w:cs="宋体"/>
                <w:sz w:val="24"/>
                <w:lang w:val="zh-CN"/>
              </w:rPr>
              <w:t>在发生退费的情况时需患者去收费窗口办理，窗口业务人员核实信息后办理退费，同时通过HIS系统发起票据冲红申请操作，生成一张同等金额且负数的红票，同时原已开具红票的原电子票据加盖“已冲红”章。</w:t>
            </w:r>
          </w:p>
          <w:p w14:paraId="6419EE40">
            <w:pPr>
              <w:numPr>
                <w:ilvl w:val="0"/>
                <w:numId w:val="5"/>
              </w:numPr>
              <w:spacing w:line="460" w:lineRule="exact"/>
              <w:ind w:firstLine="480" w:firstLineChars="200"/>
              <w:rPr>
                <w:rFonts w:ascii="宋体" w:hAnsi="宋体"/>
              </w:rPr>
            </w:pPr>
            <w:r>
              <w:rPr>
                <w:rFonts w:hint="eastAsia" w:ascii="宋体" w:hAnsi="宋体" w:cs="宋体"/>
                <w:sz w:val="24"/>
                <w:lang w:val="zh-CN"/>
              </w:rPr>
              <w:t>窗口业务人员在办理退费业务时，需先通过电子票据开票系统获取原有票据的报销入账状态确认是否可以冲红，否则不可办理退费和票据冲红；如发生网络中断导致无法查询，应急机制情况下，可以通过浙江政务服务网手动输入电子票据号码及校验码查看报销入账情况；如果涉及部分退费则需先把原票据全部金额冲红生成一张红票，再把剩余未退的金额重新开具一张电子票据。</w:t>
            </w:r>
          </w:p>
        </w:tc>
      </w:tr>
      <w:tr w14:paraId="11AD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14:paraId="1A620102">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14:paraId="7B746FCD">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14:paraId="35F1EACF">
            <w:pPr>
              <w:jc w:val="center"/>
              <w:rPr>
                <w:rFonts w:ascii="宋体" w:hAnsi="宋体"/>
              </w:rPr>
            </w:pPr>
            <w:r>
              <w:rPr>
                <w:rFonts w:hint="eastAsia" w:ascii="宋体" w:hAnsi="宋体" w:cs="宋体"/>
                <w:sz w:val="24"/>
                <w:lang w:val="zh-CN"/>
              </w:rPr>
              <w:t>电子票据对账</w:t>
            </w:r>
          </w:p>
        </w:tc>
        <w:tc>
          <w:tcPr>
            <w:tcW w:w="4824" w:type="dxa"/>
            <w:tcBorders>
              <w:top w:val="single" w:color="auto" w:sz="4" w:space="0"/>
              <w:left w:val="single" w:color="auto" w:sz="4" w:space="0"/>
              <w:bottom w:val="single" w:color="auto" w:sz="4" w:space="0"/>
              <w:right w:val="single" w:color="auto" w:sz="4" w:space="0"/>
            </w:tcBorders>
            <w:vAlign w:val="center"/>
          </w:tcPr>
          <w:p w14:paraId="62237783">
            <w:pPr>
              <w:numPr>
                <w:ilvl w:val="0"/>
                <w:numId w:val="6"/>
              </w:numPr>
              <w:spacing w:line="460" w:lineRule="exact"/>
              <w:ind w:firstLine="480" w:firstLineChars="200"/>
              <w:rPr>
                <w:rFonts w:hint="eastAsia" w:ascii="宋体" w:hAnsi="宋体" w:cs="宋体"/>
                <w:sz w:val="24"/>
                <w:lang w:val="zh-CN"/>
              </w:rPr>
            </w:pPr>
            <w:r>
              <w:rPr>
                <w:rFonts w:hint="eastAsia" w:ascii="宋体" w:hAnsi="宋体" w:cs="宋体"/>
                <w:sz w:val="24"/>
                <w:lang w:val="zh-CN"/>
              </w:rPr>
              <w:t>每日数据核对：医疗机构每日自动汇总开票数据统计形成日报提交省财政厅进行核对，确保每日医疗机构缴款收入和省财政厅开具的票据金额一致。</w:t>
            </w:r>
          </w:p>
          <w:p w14:paraId="503C5774">
            <w:pPr>
              <w:numPr>
                <w:ilvl w:val="0"/>
                <w:numId w:val="6"/>
              </w:numPr>
              <w:spacing w:line="460" w:lineRule="exact"/>
              <w:ind w:firstLine="480" w:firstLineChars="200"/>
              <w:rPr>
                <w:rFonts w:hint="eastAsia" w:ascii="宋体" w:hAnsi="宋体" w:cs="宋体"/>
                <w:sz w:val="24"/>
                <w:lang w:val="zh-CN"/>
              </w:rPr>
            </w:pPr>
            <w:r>
              <w:rPr>
                <w:rFonts w:hint="eastAsia" w:ascii="宋体" w:hAnsi="宋体" w:cs="宋体"/>
                <w:sz w:val="24"/>
                <w:lang w:val="zh-CN"/>
              </w:rPr>
              <w:t>每日票据对账：医疗机构每日汇总本单位已开具的票据数据提交省财政厅进行对账，确保医疗机构和省财政厅的开票数据一致。</w:t>
            </w:r>
          </w:p>
          <w:p w14:paraId="06AF793D">
            <w:pPr>
              <w:jc w:val="left"/>
              <w:rPr>
                <w:rFonts w:hint="eastAsia" w:ascii="宋体" w:hAnsi="宋体" w:eastAsia="宋体"/>
                <w:lang w:val="en-US" w:eastAsia="zh-CN"/>
              </w:rPr>
            </w:pPr>
          </w:p>
        </w:tc>
      </w:tr>
      <w:tr w14:paraId="7FB1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90" w:type="dxa"/>
            <w:vMerge w:val="continue"/>
            <w:tcBorders>
              <w:left w:val="single" w:color="auto" w:sz="4" w:space="0"/>
              <w:right w:val="single" w:color="auto" w:sz="4" w:space="0"/>
            </w:tcBorders>
            <w:vAlign w:val="center"/>
          </w:tcPr>
          <w:p w14:paraId="07DDD825">
            <w:pPr>
              <w:jc w:val="center"/>
              <w:rPr>
                <w:rFonts w:hint="default" w:ascii="宋体" w:hAnsi="宋体" w:eastAsia="宋体"/>
                <w:lang w:val="en-US" w:eastAsia="zh-CN"/>
              </w:rPr>
            </w:pPr>
          </w:p>
        </w:tc>
        <w:tc>
          <w:tcPr>
            <w:tcW w:w="1695" w:type="dxa"/>
            <w:vMerge w:val="continue"/>
            <w:tcBorders>
              <w:left w:val="single" w:color="auto" w:sz="4" w:space="0"/>
              <w:right w:val="single" w:color="auto" w:sz="4" w:space="0"/>
            </w:tcBorders>
            <w:vAlign w:val="center"/>
          </w:tcPr>
          <w:p w14:paraId="671B5A7A">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14:paraId="010BDF7B">
            <w:pPr>
              <w:jc w:val="center"/>
              <w:rPr>
                <w:rFonts w:ascii="宋体" w:hAnsi="宋体"/>
              </w:rPr>
            </w:pPr>
            <w:r>
              <w:rPr>
                <w:rFonts w:hint="eastAsia" w:ascii="宋体" w:hAnsi="宋体" w:cs="宋体"/>
                <w:sz w:val="24"/>
                <w:lang w:val="zh-CN"/>
              </w:rPr>
              <w:t>兼容历史票据</w:t>
            </w:r>
          </w:p>
        </w:tc>
        <w:tc>
          <w:tcPr>
            <w:tcW w:w="4824" w:type="dxa"/>
            <w:tcBorders>
              <w:top w:val="single" w:color="auto" w:sz="4" w:space="0"/>
              <w:left w:val="single" w:color="auto" w:sz="4" w:space="0"/>
              <w:bottom w:val="single" w:color="auto" w:sz="4" w:space="0"/>
              <w:right w:val="single" w:color="auto" w:sz="4" w:space="0"/>
            </w:tcBorders>
            <w:vAlign w:val="center"/>
          </w:tcPr>
          <w:p w14:paraId="432357C0">
            <w:pPr>
              <w:spacing w:line="460" w:lineRule="exact"/>
              <w:ind w:firstLine="480" w:firstLineChars="200"/>
              <w:rPr>
                <w:rFonts w:hint="eastAsia" w:ascii="宋体" w:hAnsi="宋体" w:eastAsia="宋体"/>
                <w:lang w:val="en-US" w:eastAsia="zh-CN"/>
              </w:rPr>
            </w:pPr>
            <w:r>
              <w:rPr>
                <w:rFonts w:hint="eastAsia" w:ascii="宋体" w:hAnsi="宋体" w:cs="宋体"/>
                <w:sz w:val="24"/>
                <w:lang w:val="en-US" w:eastAsia="zh-CN"/>
              </w:rPr>
              <w:t>支持历史竖版票据的查询冲红，接收HIS需要冲红的历史票据数据信息，并进行数据转换支持历史竖版票据冲红重新生成横版电子票据。</w:t>
            </w:r>
          </w:p>
        </w:tc>
      </w:tr>
      <w:tr w14:paraId="5962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14:paraId="2C2FCD9F">
            <w:pPr>
              <w:jc w:val="center"/>
              <w:rPr>
                <w:rFonts w:hint="default" w:ascii="宋体" w:hAnsi="宋体" w:eastAsia="宋体"/>
                <w:lang w:val="en-US" w:eastAsia="zh-CN"/>
              </w:rPr>
            </w:pPr>
          </w:p>
        </w:tc>
        <w:tc>
          <w:tcPr>
            <w:tcW w:w="1695" w:type="dxa"/>
            <w:vMerge w:val="continue"/>
            <w:tcBorders>
              <w:left w:val="single" w:color="auto" w:sz="4" w:space="0"/>
              <w:right w:val="single" w:color="auto" w:sz="4" w:space="0"/>
            </w:tcBorders>
            <w:vAlign w:val="center"/>
          </w:tcPr>
          <w:p w14:paraId="1F9CE370">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14:paraId="20A04072">
            <w:pPr>
              <w:jc w:val="center"/>
              <w:rPr>
                <w:rFonts w:hint="default" w:ascii="宋体" w:hAnsi="宋体" w:eastAsia="宋体"/>
                <w:lang w:val="en-US" w:eastAsia="zh-CN"/>
              </w:rPr>
            </w:pPr>
            <w:r>
              <w:rPr>
                <w:rFonts w:hint="eastAsia" w:ascii="宋体" w:hAnsi="宋体" w:cs="宋体"/>
                <w:sz w:val="24"/>
                <w:lang w:val="en-US" w:eastAsia="zh-CN"/>
              </w:rPr>
              <w:t>电子票据样式统一</w:t>
            </w:r>
          </w:p>
        </w:tc>
        <w:tc>
          <w:tcPr>
            <w:tcW w:w="4824" w:type="dxa"/>
            <w:tcBorders>
              <w:top w:val="single" w:color="auto" w:sz="4" w:space="0"/>
              <w:left w:val="single" w:color="auto" w:sz="4" w:space="0"/>
              <w:bottom w:val="single" w:color="auto" w:sz="4" w:space="0"/>
              <w:right w:val="single" w:color="auto" w:sz="4" w:space="0"/>
            </w:tcBorders>
            <w:vAlign w:val="center"/>
          </w:tcPr>
          <w:p w14:paraId="04F3BE76">
            <w:pPr>
              <w:spacing w:line="460" w:lineRule="exact"/>
              <w:ind w:firstLine="480" w:firstLineChars="200"/>
              <w:rPr>
                <w:rFonts w:hint="eastAsia" w:ascii="宋体" w:hAnsi="宋体" w:eastAsia="宋体"/>
                <w:lang w:val="en-US" w:eastAsia="zh-CN"/>
              </w:rPr>
            </w:pPr>
            <w:r>
              <w:rPr>
                <w:rFonts w:hint="eastAsia" w:ascii="宋体" w:hAnsi="宋体" w:cs="宋体"/>
                <w:sz w:val="24"/>
                <w:lang w:val="zh-CN"/>
              </w:rPr>
              <w:t>不提供竖版票据。异地患者需要横版电子票据时，提供全国统一横版样式的电子票据，以及医疗机构提供全国统一横版电子票据复印件。</w:t>
            </w:r>
          </w:p>
        </w:tc>
      </w:tr>
      <w:tr w14:paraId="0799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48916086">
            <w:pPr>
              <w:jc w:val="center"/>
              <w:rPr>
                <w:rFonts w:hint="eastAsia" w:ascii="宋体" w:hAnsi="宋体" w:eastAsia="宋体"/>
                <w:b w:val="0"/>
                <w:bCs/>
                <w:lang w:val="en-US" w:eastAsia="zh-CN"/>
              </w:rPr>
            </w:pPr>
            <w:r>
              <w:rPr>
                <w:rFonts w:hint="eastAsia" w:ascii="宋体" w:hAnsi="宋体"/>
                <w:b w:val="0"/>
                <w:bCs/>
                <w:lang w:val="en-US" w:eastAsia="zh-CN"/>
              </w:rPr>
              <w:t>2</w:t>
            </w:r>
          </w:p>
        </w:tc>
        <w:tc>
          <w:tcPr>
            <w:tcW w:w="1695" w:type="dxa"/>
            <w:tcBorders>
              <w:top w:val="single" w:color="auto" w:sz="4" w:space="0"/>
              <w:left w:val="single" w:color="auto" w:sz="4" w:space="0"/>
              <w:bottom w:val="single" w:color="auto" w:sz="4" w:space="0"/>
              <w:right w:val="single" w:color="auto" w:sz="4" w:space="0"/>
            </w:tcBorders>
            <w:vAlign w:val="center"/>
          </w:tcPr>
          <w:p w14:paraId="042786D9">
            <w:pPr>
              <w:rPr>
                <w:rFonts w:hint="default" w:ascii="宋体" w:hAnsi="宋体" w:eastAsia="宋体"/>
                <w:b w:val="0"/>
                <w:bCs/>
                <w:lang w:val="en-US" w:eastAsia="zh-CN"/>
              </w:rPr>
            </w:pPr>
            <w:r>
              <w:rPr>
                <w:rFonts w:hint="eastAsia" w:ascii="宋体" w:hAnsi="宋体"/>
                <w:b w:val="0"/>
                <w:bCs/>
                <w:lang w:val="en-US" w:eastAsia="zh-CN"/>
              </w:rPr>
              <w:t>服务需求</w:t>
            </w:r>
          </w:p>
        </w:tc>
        <w:tc>
          <w:tcPr>
            <w:tcW w:w="7009" w:type="dxa"/>
            <w:gridSpan w:val="2"/>
            <w:tcBorders>
              <w:top w:val="single" w:color="auto" w:sz="4" w:space="0"/>
              <w:left w:val="single" w:color="auto" w:sz="4" w:space="0"/>
              <w:bottom w:val="single" w:color="auto" w:sz="4" w:space="0"/>
              <w:right w:val="single" w:color="auto" w:sz="4" w:space="0"/>
            </w:tcBorders>
            <w:vAlign w:val="center"/>
          </w:tcPr>
          <w:p w14:paraId="1AFA9CA9">
            <w:pPr>
              <w:pStyle w:val="5"/>
              <w:numPr>
                <w:ilvl w:val="0"/>
                <w:numId w:val="7"/>
              </w:numPr>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运维保障：</w:t>
            </w:r>
            <w:r>
              <w:rPr>
                <w:rFonts w:hint="eastAsia" w:ascii="宋体" w:hAnsi="宋体" w:eastAsia="宋体" w:cs="宋体"/>
                <w:kern w:val="2"/>
                <w:sz w:val="24"/>
                <w:szCs w:val="24"/>
                <w:lang w:val="zh-CN" w:eastAsia="zh-CN" w:bidi="ar-SA"/>
              </w:rPr>
              <w:t>服务要求：提供7*24小时运维服务保障，接到系统故障通知后，须在</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0分钟内响应，对于影响系统正常运行的严重故障（包括由系统软硬件等原因引起的），相关技术人员必须在接到故障通知后2小时内赶到现场，查找原因，提出解决方案，并工作直至故障修妥完全恢复正常工作为止，要求保证系统在24小时之内修复。</w:t>
            </w:r>
          </w:p>
          <w:p w14:paraId="0CB2B8DC">
            <w:pPr>
              <w:pStyle w:val="5"/>
              <w:numPr>
                <w:ilvl w:val="0"/>
                <w:numId w:val="7"/>
              </w:numPr>
              <w:ind w:firstLine="480" w:firstLineChars="200"/>
              <w:rPr>
                <w:rFonts w:hint="default" w:ascii="宋体" w:hAnsi="宋体" w:cs="宋体"/>
                <w:sz w:val="24"/>
                <w:lang w:val="en-US" w:eastAsia="zh-CN"/>
              </w:rPr>
            </w:pPr>
            <w:r>
              <w:rPr>
                <w:rFonts w:hint="eastAsia" w:ascii="宋体" w:hAnsi="宋体" w:eastAsia="宋体" w:cs="宋体"/>
                <w:kern w:val="2"/>
                <w:sz w:val="24"/>
                <w:szCs w:val="24"/>
                <w:lang w:val="en-US" w:eastAsia="zh-CN" w:bidi="ar-SA"/>
              </w:rPr>
              <w:t>培训要求：</w:t>
            </w:r>
            <w:r>
              <w:rPr>
                <w:rFonts w:hint="eastAsia" w:ascii="宋体" w:hAnsi="宋体" w:eastAsia="宋体" w:cs="宋体"/>
                <w:kern w:val="2"/>
                <w:sz w:val="24"/>
                <w:szCs w:val="24"/>
                <w:lang w:val="zh-CN" w:eastAsia="zh-CN" w:bidi="ar-SA"/>
              </w:rPr>
              <w:t>制订培训计划，对温州医科大学附属第二医院技术人员和医务人员进行针对性操作培训，培训内容包含不限于软件的日常操作和管理维护、基本故障诊断与排错。</w:t>
            </w:r>
          </w:p>
        </w:tc>
      </w:tr>
    </w:tbl>
    <w:p w14:paraId="690AEA04">
      <w:pPr>
        <w:rPr>
          <w:rFonts w:hint="eastAsia"/>
          <w:b w:val="0"/>
          <w:color w:val="000000" w:themeColor="text1"/>
          <w14:textFill>
            <w14:solidFill>
              <w14:schemeClr w14:val="tx1"/>
            </w14:solidFill>
          </w14:textFill>
        </w:rPr>
      </w:pPr>
      <w:bookmarkStart w:id="11" w:name="_Toc28183"/>
      <w:r>
        <w:rPr>
          <w:rFonts w:hint="eastAsia"/>
          <w:b w:val="0"/>
          <w:color w:val="000000" w:themeColor="text1"/>
          <w14:textFill>
            <w14:solidFill>
              <w14:schemeClr w14:val="tx1"/>
            </w14:solidFill>
          </w14:textFill>
        </w:rPr>
        <w:br w:type="page"/>
      </w:r>
    </w:p>
    <w:p w14:paraId="25D01068">
      <w:pPr>
        <w:pStyle w:val="2"/>
        <w:tabs>
          <w:tab w:val="left" w:pos="-200"/>
          <w:tab w:val="left" w:pos="3652"/>
        </w:tabs>
        <w:spacing w:line="240" w:lineRule="auto"/>
        <w:ind w:left="0" w:leftChars="0" w:firstLine="0" w:firstLineChars="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第二章  招标评分标准</w:t>
      </w:r>
      <w:bookmarkEnd w:id="11"/>
    </w:p>
    <w:p w14:paraId="7C00B15D">
      <w:pPr>
        <w:pStyle w:val="3"/>
        <w:numPr>
          <w:ilvl w:val="0"/>
          <w:numId w:val="8"/>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2" w:name="_Toc4554"/>
      <w:r>
        <w:rPr>
          <w:rFonts w:hint="eastAsia" w:ascii="宋体" w:hAnsi="宋体" w:eastAsia="宋体"/>
          <w:color w:val="000000" w:themeColor="text1"/>
          <w:sz w:val="21"/>
          <w:szCs w:val="21"/>
          <w:lang w:val="en-US" w:eastAsia="zh-CN"/>
          <w14:textFill>
            <w14:solidFill>
              <w14:schemeClr w14:val="tx1"/>
            </w14:solidFill>
          </w14:textFill>
        </w:rPr>
        <w:t>综合评分</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70</w:t>
      </w:r>
      <w:r>
        <w:rPr>
          <w:rFonts w:hint="eastAsia" w:ascii="宋体" w:hAnsi="宋体" w:eastAsia="宋体"/>
          <w:color w:val="000000" w:themeColor="text1"/>
          <w:sz w:val="21"/>
          <w:szCs w:val="21"/>
          <w14:textFill>
            <w14:solidFill>
              <w14:schemeClr w14:val="tx1"/>
            </w14:solidFill>
          </w14:textFill>
        </w:rPr>
        <w:t>分）</w:t>
      </w:r>
      <w:bookmarkEnd w:id="12"/>
    </w:p>
    <w:tbl>
      <w:tblPr>
        <w:tblStyle w:val="11"/>
        <w:tblpPr w:leftFromText="180" w:rightFromText="180" w:vertAnchor="text" w:horzAnchor="page" w:tblpXSpec="center" w:tblpY="358"/>
        <w:tblOverlap w:val="neve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796"/>
        <w:gridCol w:w="6201"/>
      </w:tblGrid>
      <w:tr w14:paraId="79A0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1" w:type="dxa"/>
            <w:vAlign w:val="center"/>
          </w:tcPr>
          <w:p w14:paraId="161358C8">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w:t>
            </w:r>
          </w:p>
        </w:tc>
        <w:tc>
          <w:tcPr>
            <w:tcW w:w="1260" w:type="dxa"/>
            <w:vAlign w:val="center"/>
          </w:tcPr>
          <w:p w14:paraId="5E7E9524">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产品功能</w:t>
            </w:r>
          </w:p>
        </w:tc>
        <w:tc>
          <w:tcPr>
            <w:tcW w:w="796" w:type="dxa"/>
            <w:vAlign w:val="center"/>
          </w:tcPr>
          <w:p w14:paraId="65058BEC">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40</w:t>
            </w:r>
          </w:p>
        </w:tc>
        <w:tc>
          <w:tcPr>
            <w:tcW w:w="6201" w:type="dxa"/>
            <w:vAlign w:val="center"/>
          </w:tcPr>
          <w:p w14:paraId="633372C2">
            <w:pPr>
              <w:spacing w:line="288" w:lineRule="auto"/>
              <w:jc w:val="left"/>
              <w:rPr>
                <w:rFonts w:hint="default" w:ascii="宋体" w:hAnsi="宋体" w:eastAsia="宋体"/>
                <w:bCs/>
                <w:spacing w:val="-6"/>
                <w:sz w:val="21"/>
                <w:szCs w:val="21"/>
                <w:lang w:val="en-US" w:eastAsia="zh-CN"/>
              </w:rPr>
            </w:pPr>
            <w:r>
              <w:rPr>
                <w:rFonts w:hint="eastAsia" w:ascii="宋体" w:hAnsi="宋体"/>
                <w:bCs/>
                <w:spacing w:val="-6"/>
                <w:sz w:val="21"/>
                <w:szCs w:val="21"/>
                <w:lang w:val="en-US" w:eastAsia="zh-CN"/>
              </w:rPr>
              <w:t>根据功能模块是否响应达标进行评分，缺失一项功能扣5分，扣完为止。</w:t>
            </w:r>
          </w:p>
        </w:tc>
      </w:tr>
      <w:tr w14:paraId="4897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1" w:type="dxa"/>
            <w:vAlign w:val="center"/>
          </w:tcPr>
          <w:p w14:paraId="02597BD6">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2</w:t>
            </w:r>
          </w:p>
        </w:tc>
        <w:tc>
          <w:tcPr>
            <w:tcW w:w="1260" w:type="dxa"/>
            <w:vAlign w:val="center"/>
          </w:tcPr>
          <w:p w14:paraId="4503212D">
            <w:pPr>
              <w:widowControl/>
              <w:tabs>
                <w:tab w:val="left" w:pos="-200"/>
              </w:tabs>
              <w:ind w:left="0" w:leftChars="0" w:firstLine="0" w:firstLineChars="0"/>
              <w:jc w:val="center"/>
              <w:rPr>
                <w:rFonts w:ascii="宋体" w:hAnsi="宋体" w:cs="仿宋_GB2312"/>
                <w:kern w:val="0"/>
                <w:szCs w:val="21"/>
              </w:rPr>
            </w:pPr>
            <w:r>
              <w:rPr>
                <w:rFonts w:hint="eastAsia" w:ascii="宋体" w:hAnsi="宋体" w:cs="仿宋_GB2312"/>
                <w:kern w:val="0"/>
                <w:szCs w:val="21"/>
              </w:rPr>
              <w:t>技术方案</w:t>
            </w:r>
          </w:p>
        </w:tc>
        <w:tc>
          <w:tcPr>
            <w:tcW w:w="796" w:type="dxa"/>
            <w:vAlign w:val="center"/>
          </w:tcPr>
          <w:p w14:paraId="5130D697">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10</w:t>
            </w:r>
          </w:p>
        </w:tc>
        <w:tc>
          <w:tcPr>
            <w:tcW w:w="6201" w:type="dxa"/>
            <w:vAlign w:val="center"/>
          </w:tcPr>
          <w:p w14:paraId="101867F2">
            <w:pPr>
              <w:spacing w:line="288" w:lineRule="auto"/>
              <w:jc w:val="left"/>
              <w:rPr>
                <w:rFonts w:hint="default" w:ascii="宋体" w:hAnsi="宋体" w:eastAsia="宋体"/>
                <w:bCs/>
                <w:spacing w:val="-6"/>
                <w:sz w:val="21"/>
                <w:szCs w:val="21"/>
                <w:lang w:val="en-US" w:eastAsia="zh-CN"/>
              </w:rPr>
            </w:pPr>
            <w:r>
              <w:rPr>
                <w:rFonts w:hint="eastAsia" w:ascii="宋体" w:hAnsi="宋体" w:eastAsia="宋体"/>
                <w:bCs/>
                <w:spacing w:val="-6"/>
                <w:sz w:val="21"/>
                <w:szCs w:val="21"/>
                <w:lang w:val="en-US" w:eastAsia="zh-CN"/>
              </w:rPr>
              <w:t>根据投标人实施方案</w:t>
            </w:r>
            <w:r>
              <w:rPr>
                <w:rFonts w:hint="eastAsia" w:ascii="宋体" w:hAnsi="宋体"/>
                <w:bCs/>
                <w:spacing w:val="-6"/>
                <w:sz w:val="21"/>
                <w:szCs w:val="21"/>
                <w:lang w:val="en-US" w:eastAsia="zh-CN"/>
              </w:rPr>
              <w:t>是否</w:t>
            </w:r>
            <w:r>
              <w:rPr>
                <w:rFonts w:hint="eastAsia" w:ascii="宋体" w:hAnsi="宋体" w:eastAsia="宋体"/>
                <w:bCs/>
                <w:spacing w:val="-6"/>
                <w:sz w:val="21"/>
                <w:szCs w:val="21"/>
                <w:lang w:val="en-US" w:eastAsia="zh-CN"/>
              </w:rPr>
              <w:t>全面</w:t>
            </w:r>
            <w:r>
              <w:rPr>
                <w:rFonts w:hint="eastAsia" w:ascii="宋体" w:hAnsi="宋体"/>
                <w:bCs/>
                <w:spacing w:val="-6"/>
                <w:sz w:val="21"/>
                <w:szCs w:val="21"/>
                <w:lang w:val="en-US" w:eastAsia="zh-CN"/>
              </w:rPr>
              <w:t>，</w:t>
            </w:r>
            <w:r>
              <w:rPr>
                <w:rFonts w:hint="eastAsia" w:ascii="宋体" w:hAnsi="宋体" w:eastAsia="宋体"/>
                <w:bCs/>
                <w:spacing w:val="-6"/>
                <w:sz w:val="21"/>
                <w:szCs w:val="21"/>
                <w:lang w:val="en-US" w:eastAsia="zh-CN"/>
              </w:rPr>
              <w:t>进度安排</w:t>
            </w:r>
            <w:r>
              <w:rPr>
                <w:rFonts w:hint="eastAsia" w:ascii="宋体" w:hAnsi="宋体"/>
                <w:bCs/>
                <w:spacing w:val="-6"/>
                <w:sz w:val="21"/>
                <w:szCs w:val="21"/>
                <w:lang w:val="en-US" w:eastAsia="zh-CN"/>
              </w:rPr>
              <w:t>是否合理，</w:t>
            </w:r>
            <w:r>
              <w:rPr>
                <w:rFonts w:hint="eastAsia" w:ascii="宋体" w:hAnsi="宋体" w:eastAsia="宋体"/>
                <w:bCs/>
                <w:color w:val="0000FF"/>
                <w:spacing w:val="-6"/>
                <w:sz w:val="21"/>
                <w:szCs w:val="21"/>
                <w:lang w:val="en-US" w:eastAsia="zh-CN"/>
              </w:rPr>
              <w:t>技术设计方案</w:t>
            </w:r>
            <w:r>
              <w:rPr>
                <w:rFonts w:hint="eastAsia" w:ascii="宋体" w:hAnsi="宋体"/>
                <w:bCs/>
                <w:color w:val="0000FF"/>
                <w:spacing w:val="-6"/>
                <w:sz w:val="21"/>
                <w:szCs w:val="21"/>
                <w:lang w:val="en-US" w:eastAsia="zh-CN"/>
              </w:rPr>
              <w:t>是否可行，</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，最高得10分。</w:t>
            </w:r>
          </w:p>
        </w:tc>
      </w:tr>
      <w:tr w14:paraId="05B6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1" w:type="dxa"/>
            <w:vAlign w:val="center"/>
          </w:tcPr>
          <w:p w14:paraId="2857AE34">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3</w:t>
            </w:r>
          </w:p>
        </w:tc>
        <w:tc>
          <w:tcPr>
            <w:tcW w:w="1260" w:type="dxa"/>
            <w:vAlign w:val="center"/>
          </w:tcPr>
          <w:p w14:paraId="146E8BBF">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运维服务能力</w:t>
            </w:r>
          </w:p>
        </w:tc>
        <w:tc>
          <w:tcPr>
            <w:tcW w:w="796" w:type="dxa"/>
            <w:vAlign w:val="center"/>
          </w:tcPr>
          <w:p w14:paraId="6E14869B">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20</w:t>
            </w:r>
          </w:p>
        </w:tc>
        <w:tc>
          <w:tcPr>
            <w:tcW w:w="6201" w:type="dxa"/>
            <w:vAlign w:val="center"/>
          </w:tcPr>
          <w:p w14:paraId="2C03F058">
            <w:pPr>
              <w:spacing w:line="288" w:lineRule="auto"/>
              <w:jc w:val="left"/>
              <w:rPr>
                <w:rFonts w:hint="eastAsia"/>
                <w:lang w:val="en-US" w:eastAsia="zh-CN"/>
              </w:rPr>
            </w:pPr>
            <w:r>
              <w:rPr>
                <w:rFonts w:hint="eastAsia"/>
                <w:lang w:val="en-US" w:eastAsia="zh-CN"/>
              </w:rPr>
              <w:t>根据投标人是否具备成熟售后服务能力和故障响应体系，综合评分，最高得10分。</w:t>
            </w:r>
          </w:p>
          <w:p w14:paraId="030DCA8C">
            <w:pPr>
              <w:spacing w:line="288" w:lineRule="auto"/>
              <w:jc w:val="left"/>
              <w:rPr>
                <w:rFonts w:hint="default"/>
                <w:lang w:val="en-US" w:eastAsia="zh-CN"/>
              </w:rPr>
            </w:pPr>
            <w:r>
              <w:rPr>
                <w:rFonts w:hint="eastAsia"/>
                <w:lang w:val="en-US" w:eastAsia="zh-CN"/>
              </w:rPr>
              <w:t>是否有完善的培训体系，综合评分，最高得10分。</w:t>
            </w:r>
          </w:p>
        </w:tc>
      </w:tr>
    </w:tbl>
    <w:p w14:paraId="6DD8B67E">
      <w:pPr>
        <w:tabs>
          <w:tab w:val="left" w:pos="-200"/>
        </w:tabs>
        <w:ind w:left="0" w:leftChars="0" w:firstLine="0" w:firstLineChars="0"/>
        <w:jc w:val="left"/>
        <w:rPr>
          <w:rFonts w:cs="Arial" w:asciiTheme="minorEastAsia" w:hAnsiTheme="minorEastAsia" w:eastAsiaTheme="minorEastAsia"/>
          <w:color w:val="000000" w:themeColor="text1"/>
          <w:szCs w:val="21"/>
          <w14:textFill>
            <w14:solidFill>
              <w14:schemeClr w14:val="tx1"/>
            </w14:solidFill>
          </w14:textFill>
        </w:rPr>
      </w:pPr>
    </w:p>
    <w:p w14:paraId="5BDA46D5">
      <w:pPr>
        <w:pStyle w:val="3"/>
        <w:numPr>
          <w:ilvl w:val="0"/>
          <w:numId w:val="8"/>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3" w:name="_Toc674"/>
      <w:r>
        <w:rPr>
          <w:rFonts w:ascii="宋体" w:hAnsi="宋体" w:eastAsia="宋体"/>
          <w:color w:val="000000" w:themeColor="text1"/>
          <w:sz w:val="21"/>
          <w:szCs w:val="21"/>
          <w14:textFill>
            <w14:solidFill>
              <w14:schemeClr w14:val="tx1"/>
            </w14:solidFill>
          </w14:textFill>
        </w:rPr>
        <w:t>商务</w:t>
      </w:r>
      <w:r>
        <w:rPr>
          <w:rFonts w:hint="eastAsia" w:ascii="宋体" w:hAnsi="宋体" w:eastAsia="宋体"/>
          <w:color w:val="000000" w:themeColor="text1"/>
          <w:sz w:val="21"/>
          <w:szCs w:val="21"/>
          <w14:textFill>
            <w14:solidFill>
              <w14:schemeClr w14:val="tx1"/>
            </w14:solidFill>
          </w14:textFill>
        </w:rPr>
        <w:t>报价部分（</w:t>
      </w:r>
      <w:r>
        <w:rPr>
          <w:rFonts w:hint="eastAsia" w:ascii="宋体" w:hAnsi="宋体" w:eastAsia="宋体"/>
          <w:color w:val="000000" w:themeColor="text1"/>
          <w:sz w:val="21"/>
          <w:szCs w:val="21"/>
          <w:lang w:val="en-US" w:eastAsia="zh-CN"/>
          <w14:textFill>
            <w14:solidFill>
              <w14:schemeClr w14:val="tx1"/>
            </w14:solidFill>
          </w14:textFill>
        </w:rPr>
        <w:t>30</w:t>
      </w:r>
      <w:r>
        <w:rPr>
          <w:rFonts w:hint="eastAsia" w:ascii="宋体" w:hAnsi="宋体" w:eastAsia="宋体"/>
          <w:color w:val="000000" w:themeColor="text1"/>
          <w:sz w:val="21"/>
          <w:szCs w:val="21"/>
          <w14:textFill>
            <w14:solidFill>
              <w14:schemeClr w14:val="tx1"/>
            </w14:solidFill>
          </w14:textFill>
        </w:rPr>
        <w:t>分）</w:t>
      </w:r>
      <w:bookmarkEnd w:id="13"/>
    </w:p>
    <w:tbl>
      <w:tblPr>
        <w:tblStyle w:val="11"/>
        <w:tblpPr w:leftFromText="180" w:rightFromText="180" w:vertAnchor="text" w:horzAnchor="page" w:tblpXSpec="center" w:tblpY="527"/>
        <w:tblOverlap w:val="never"/>
        <w:tblW w:w="887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1257"/>
        <w:gridCol w:w="800"/>
        <w:gridCol w:w="6114"/>
      </w:tblGrid>
      <w:tr w14:paraId="79D7FD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14:paraId="7A5BF315">
            <w:pPr>
              <w:tabs>
                <w:tab w:val="left" w:pos="-200"/>
              </w:tabs>
              <w:ind w:left="0" w:leftChars="0" w:firstLine="0" w:firstLineChars="0"/>
              <w:jc w:val="center"/>
              <w:rPr>
                <w:rFonts w:ascii="宋体" w:hAnsi="宋体" w:cs="仿宋_GB2312"/>
                <w:szCs w:val="21"/>
                <w:lang w:eastAsia="zh-Hans"/>
              </w:rPr>
            </w:pPr>
            <w:r>
              <w:rPr>
                <w:rFonts w:hint="eastAsia" w:ascii="宋体" w:hAnsi="宋体" w:cs="仿宋_GB2312"/>
                <w:szCs w:val="21"/>
                <w:lang w:eastAsia="zh-Hans"/>
              </w:rPr>
              <w:t>序号</w:t>
            </w:r>
          </w:p>
        </w:tc>
        <w:tc>
          <w:tcPr>
            <w:tcW w:w="1257" w:type="dxa"/>
            <w:tcBorders>
              <w:top w:val="outset" w:color="auto" w:sz="6" w:space="0"/>
              <w:left w:val="outset" w:color="auto" w:sz="6" w:space="0"/>
              <w:bottom w:val="outset" w:color="auto" w:sz="6" w:space="0"/>
              <w:right w:val="outset" w:color="auto" w:sz="6" w:space="0"/>
            </w:tcBorders>
            <w:vAlign w:val="center"/>
          </w:tcPr>
          <w:p w14:paraId="1557A566">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评审项目</w:t>
            </w:r>
          </w:p>
        </w:tc>
        <w:tc>
          <w:tcPr>
            <w:tcW w:w="800" w:type="dxa"/>
            <w:tcBorders>
              <w:top w:val="outset" w:color="auto" w:sz="6" w:space="0"/>
              <w:left w:val="outset" w:color="auto" w:sz="6" w:space="0"/>
              <w:bottom w:val="outset" w:color="auto" w:sz="6" w:space="0"/>
              <w:right w:val="outset" w:color="auto" w:sz="6" w:space="0"/>
            </w:tcBorders>
            <w:vAlign w:val="center"/>
          </w:tcPr>
          <w:p w14:paraId="4F21168F">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分值</w:t>
            </w:r>
          </w:p>
        </w:tc>
        <w:tc>
          <w:tcPr>
            <w:tcW w:w="6114" w:type="dxa"/>
            <w:tcBorders>
              <w:top w:val="outset" w:color="auto" w:sz="6" w:space="0"/>
              <w:left w:val="outset" w:color="auto" w:sz="6" w:space="0"/>
              <w:bottom w:val="outset" w:color="auto" w:sz="6" w:space="0"/>
              <w:right w:val="outset" w:color="auto" w:sz="6" w:space="0"/>
            </w:tcBorders>
            <w:vAlign w:val="center"/>
          </w:tcPr>
          <w:p w14:paraId="300F93F7">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依据</w:t>
            </w:r>
          </w:p>
        </w:tc>
      </w:tr>
      <w:tr w14:paraId="17DD6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14:paraId="2C6D4801">
            <w:pPr>
              <w:tabs>
                <w:tab w:val="left" w:pos="-200"/>
              </w:tabs>
              <w:ind w:left="0" w:leftChars="0" w:firstLine="0" w:firstLineChars="0"/>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1257" w:type="dxa"/>
            <w:tcBorders>
              <w:top w:val="outset" w:color="auto" w:sz="6" w:space="0"/>
              <w:left w:val="outset" w:color="auto" w:sz="6" w:space="0"/>
              <w:bottom w:val="outset" w:color="auto" w:sz="6" w:space="0"/>
              <w:right w:val="outset" w:color="auto" w:sz="6" w:space="0"/>
            </w:tcBorders>
            <w:vAlign w:val="center"/>
          </w:tcPr>
          <w:p w14:paraId="1C2BF313">
            <w:pPr>
              <w:widowControl/>
              <w:tabs>
                <w:tab w:val="left" w:pos="-200"/>
              </w:tabs>
              <w:ind w:left="0" w:leftChars="0" w:firstLine="0" w:firstLineChars="0"/>
              <w:jc w:val="center"/>
              <w:rPr>
                <w:rFonts w:ascii="宋体" w:hAnsi="宋体" w:cs="仿宋_GB2312"/>
                <w:szCs w:val="21"/>
              </w:rPr>
            </w:pPr>
            <w:r>
              <w:rPr>
                <w:rFonts w:hint="eastAsia" w:ascii="宋体" w:hAnsi="宋体" w:eastAsia="宋体" w:cs="仿宋_GB2312"/>
                <w:kern w:val="0"/>
                <w:szCs w:val="21"/>
                <w:lang w:eastAsia="zh-Hans"/>
              </w:rPr>
              <w:t>投标</w:t>
            </w:r>
            <w:r>
              <w:rPr>
                <w:rFonts w:hint="eastAsia" w:ascii="宋体" w:hAnsi="宋体" w:cs="仿宋_GB2312"/>
                <w:szCs w:val="21"/>
              </w:rPr>
              <w:t>报价</w:t>
            </w:r>
          </w:p>
        </w:tc>
        <w:tc>
          <w:tcPr>
            <w:tcW w:w="800" w:type="dxa"/>
            <w:tcBorders>
              <w:top w:val="outset" w:color="auto" w:sz="6" w:space="0"/>
              <w:left w:val="outset" w:color="auto" w:sz="6" w:space="0"/>
              <w:bottom w:val="outset" w:color="auto" w:sz="6" w:space="0"/>
              <w:right w:val="outset" w:color="auto" w:sz="6" w:space="0"/>
            </w:tcBorders>
            <w:vAlign w:val="center"/>
          </w:tcPr>
          <w:p w14:paraId="5ADCF4B0">
            <w:pPr>
              <w:widowControl/>
              <w:tabs>
                <w:tab w:val="left" w:pos="-200"/>
              </w:tabs>
              <w:ind w:left="0" w:leftChars="0" w:firstLine="0" w:firstLineChars="0"/>
              <w:jc w:val="center"/>
              <w:rPr>
                <w:rFonts w:hint="default" w:ascii="宋体" w:hAnsi="宋体" w:eastAsia="宋体" w:cs="仿宋_GB2312"/>
                <w:szCs w:val="21"/>
                <w:lang w:val="en-US" w:eastAsia="zh-CN"/>
              </w:rPr>
            </w:pPr>
            <w:r>
              <w:rPr>
                <w:rFonts w:hint="eastAsia" w:ascii="宋体" w:hAnsi="宋体" w:cs="仿宋_GB2312"/>
                <w:kern w:val="0"/>
                <w:szCs w:val="21"/>
                <w:lang w:val="en-US" w:eastAsia="zh-CN"/>
              </w:rPr>
              <w:t>30</w:t>
            </w:r>
          </w:p>
        </w:tc>
        <w:tc>
          <w:tcPr>
            <w:tcW w:w="6114" w:type="dxa"/>
            <w:tcBorders>
              <w:top w:val="outset" w:color="auto" w:sz="6" w:space="0"/>
              <w:left w:val="outset" w:color="auto" w:sz="6" w:space="0"/>
              <w:bottom w:val="outset" w:color="auto" w:sz="6" w:space="0"/>
              <w:right w:val="outset" w:color="auto" w:sz="6" w:space="0"/>
            </w:tcBorders>
            <w:vAlign w:val="center"/>
          </w:tcPr>
          <w:p w14:paraId="153DE08C">
            <w:pPr>
              <w:widowControl/>
              <w:tabs>
                <w:tab w:val="left" w:pos="-200"/>
              </w:tabs>
              <w:ind w:left="0" w:leftChars="0" w:firstLine="0" w:firstLineChars="0"/>
              <w:jc w:val="left"/>
              <w:rPr>
                <w:rFonts w:ascii="宋体" w:hAnsi="宋体" w:cs="仿宋_GB2312"/>
                <w:kern w:val="0"/>
                <w:szCs w:val="21"/>
              </w:rPr>
            </w:pPr>
            <w:r>
              <w:rPr>
                <w:rFonts w:hint="eastAsia" w:ascii="宋体" w:hAnsi="宋体" w:eastAsia="宋体" w:cs="仿宋_GB2312"/>
                <w:kern w:val="0"/>
                <w:szCs w:val="21"/>
              </w:rPr>
              <w:t>综合</w:t>
            </w:r>
            <w:r>
              <w:rPr>
                <w:rFonts w:hint="eastAsia" w:ascii="宋体" w:hAnsi="宋体" w:cs="仿宋_GB2312"/>
                <w:kern w:val="0"/>
                <w:szCs w:val="21"/>
              </w:rPr>
              <w:t>评分法中的价格分统一采用低价优先法计算，即满足要求且最后报价最低的供应商的价格为基准价，其价格分为满分。其他供应商的价格分统一按照下列公式计算：</w:t>
            </w:r>
          </w:p>
          <w:p w14:paraId="4A6EC248">
            <w:pPr>
              <w:tabs>
                <w:tab w:val="left" w:pos="-200"/>
              </w:tabs>
              <w:ind w:left="0" w:leftChars="0" w:firstLine="0" w:firstLineChars="0"/>
              <w:jc w:val="left"/>
              <w:rPr>
                <w:rFonts w:ascii="宋体" w:hAnsi="宋体" w:cs="仿宋_GB2312"/>
                <w:kern w:val="0"/>
                <w:szCs w:val="21"/>
              </w:rPr>
            </w:pPr>
            <w:r>
              <w:rPr>
                <w:rFonts w:hint="eastAsia" w:ascii="宋体" w:hAnsi="宋体" w:cs="仿宋_GB2312"/>
                <w:kern w:val="0"/>
                <w:szCs w:val="21"/>
              </w:rPr>
              <w:t>报价得分=（基准价/最后报价）×价格分值</w:t>
            </w:r>
          </w:p>
          <w:p w14:paraId="05DAEC85">
            <w:pPr>
              <w:widowControl/>
              <w:tabs>
                <w:tab w:val="left" w:pos="-200"/>
              </w:tabs>
              <w:ind w:left="0" w:leftChars="0" w:firstLine="0" w:firstLineChars="0"/>
              <w:jc w:val="left"/>
              <w:rPr>
                <w:rFonts w:ascii="宋体" w:hAnsi="宋体" w:cs="仿宋_GB2312"/>
                <w:szCs w:val="21"/>
              </w:rPr>
            </w:pPr>
          </w:p>
        </w:tc>
      </w:tr>
    </w:tbl>
    <w:p w14:paraId="5B128394">
      <w:pPr>
        <w:tabs>
          <w:tab w:val="left" w:pos="-200"/>
        </w:tabs>
        <w:ind w:left="0" w:leftChars="0" w:firstLine="0" w:firstLineChars="0"/>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14:paraId="6911A746">
        <w:pPr>
          <w:pStyle w:val="7"/>
          <w:jc w:val="center"/>
        </w:pPr>
        <w:r>
          <w:fldChar w:fldCharType="begin"/>
        </w:r>
        <w:r>
          <w:instrText xml:space="preserve">PAGE   \* MERGEFORMAT</w:instrText>
        </w:r>
        <w:r>
          <w:fldChar w:fldCharType="separate"/>
        </w:r>
        <w:r>
          <w:rPr>
            <w:lang w:val="zh-CN"/>
          </w:rPr>
          <w:t>18</w:t>
        </w:r>
        <w:r>
          <w:fldChar w:fldCharType="end"/>
        </w:r>
      </w:p>
    </w:sdtContent>
  </w:sdt>
  <w:p w14:paraId="6E930C4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5420">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685"/>
                          </w:sdtPr>
                          <w:sdtContent>
                            <w:p w14:paraId="1268F623">
                              <w:pPr>
                                <w:pStyle w:val="7"/>
                                <w:jc w:val="center"/>
                              </w:pPr>
                              <w:r>
                                <w:fldChar w:fldCharType="begin"/>
                              </w:r>
                              <w:r>
                                <w:instrText xml:space="preserve">PAGE   \* MERGEFORMAT</w:instrText>
                              </w:r>
                              <w:r>
                                <w:fldChar w:fldCharType="separate"/>
                              </w:r>
                              <w:r>
                                <w:rPr>
                                  <w:lang w:val="zh-CN"/>
                                </w:rPr>
                                <w:t>18</w:t>
                              </w:r>
                              <w:r>
                                <w:fldChar w:fldCharType="end"/>
                              </w:r>
                            </w:p>
                          </w:sdtContent>
                        </w:sdt>
                        <w:p w14:paraId="1CD548CC">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3685"/>
                    </w:sdtPr>
                    <w:sdtContent>
                      <w:p w14:paraId="1268F623">
                        <w:pPr>
                          <w:pStyle w:val="7"/>
                          <w:jc w:val="center"/>
                        </w:pPr>
                        <w:r>
                          <w:fldChar w:fldCharType="begin"/>
                        </w:r>
                        <w:r>
                          <w:instrText xml:space="preserve">PAGE   \* MERGEFORMAT</w:instrText>
                        </w:r>
                        <w:r>
                          <w:fldChar w:fldCharType="separate"/>
                        </w:r>
                        <w:r>
                          <w:rPr>
                            <w:lang w:val="zh-CN"/>
                          </w:rPr>
                          <w:t>18</w:t>
                        </w:r>
                        <w:r>
                          <w:fldChar w:fldCharType="end"/>
                        </w:r>
                      </w:p>
                    </w:sdtContent>
                  </w:sdt>
                  <w:p w14:paraId="1CD548CC">
                    <w:pPr>
                      <w:pStyle w:val="15"/>
                    </w:pPr>
                  </w:p>
                </w:txbxContent>
              </v:textbox>
            </v:shape>
          </w:pict>
        </mc:Fallback>
      </mc:AlternateContent>
    </w:r>
  </w:p>
  <w:p w14:paraId="0A6F3A9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0A8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F665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4F665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447E">
    <w:pPr>
      <w:pStyle w:val="8"/>
      <w:jc w:val="left"/>
      <w:rPr>
        <w:rFonts w:ascii="仿宋" w:hAnsi="仿宋" w:eastAsia="仿宋"/>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76F63">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7CE7"/>
    <w:multiLevelType w:val="singleLevel"/>
    <w:tmpl w:val="806D7CE7"/>
    <w:lvl w:ilvl="0" w:tentative="0">
      <w:start w:val="1"/>
      <w:numFmt w:val="decimal"/>
      <w:lvlText w:val="%1."/>
      <w:lvlJc w:val="left"/>
      <w:pPr>
        <w:tabs>
          <w:tab w:val="left" w:pos="312"/>
        </w:tabs>
      </w:pPr>
    </w:lvl>
  </w:abstractNum>
  <w:abstractNum w:abstractNumId="1">
    <w:nsid w:val="8CA78FED"/>
    <w:multiLevelType w:val="singleLevel"/>
    <w:tmpl w:val="8CA78FED"/>
    <w:lvl w:ilvl="0" w:tentative="0">
      <w:start w:val="1"/>
      <w:numFmt w:val="decimal"/>
      <w:lvlText w:val="%1."/>
      <w:lvlJc w:val="left"/>
      <w:pPr>
        <w:tabs>
          <w:tab w:val="left" w:pos="312"/>
        </w:tabs>
      </w:pPr>
    </w:lvl>
  </w:abstractNum>
  <w:abstractNum w:abstractNumId="2">
    <w:nsid w:val="CFE932F9"/>
    <w:multiLevelType w:val="singleLevel"/>
    <w:tmpl w:val="CFE932F9"/>
    <w:lvl w:ilvl="0" w:tentative="0">
      <w:start w:val="1"/>
      <w:numFmt w:val="decimal"/>
      <w:lvlText w:val="%1."/>
      <w:lvlJc w:val="left"/>
      <w:pPr>
        <w:tabs>
          <w:tab w:val="left" w:pos="312"/>
        </w:tabs>
      </w:pPr>
    </w:lvl>
  </w:abstractNum>
  <w:abstractNum w:abstractNumId="3">
    <w:nsid w:val="F070A080"/>
    <w:multiLevelType w:val="singleLevel"/>
    <w:tmpl w:val="F070A080"/>
    <w:lvl w:ilvl="0" w:tentative="0">
      <w:start w:val="1"/>
      <w:numFmt w:val="decimal"/>
      <w:lvlText w:val="%1."/>
      <w:lvlJc w:val="left"/>
      <w:pPr>
        <w:tabs>
          <w:tab w:val="left" w:pos="312"/>
        </w:tabs>
      </w:pPr>
    </w:lvl>
  </w:abstractNum>
  <w:abstractNum w:abstractNumId="4">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F904B6"/>
    <w:multiLevelType w:val="singleLevel"/>
    <w:tmpl w:val="27F904B6"/>
    <w:lvl w:ilvl="0" w:tentative="0">
      <w:start w:val="1"/>
      <w:numFmt w:val="decimal"/>
      <w:lvlText w:val="%1."/>
      <w:lvlJc w:val="left"/>
      <w:pPr>
        <w:tabs>
          <w:tab w:val="left" w:pos="312"/>
        </w:tabs>
      </w:pPr>
    </w:lvl>
  </w:abstractNum>
  <w:abstractNum w:abstractNumId="6">
    <w:nsid w:val="44C87273"/>
    <w:multiLevelType w:val="multilevel"/>
    <w:tmpl w:val="44C8727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36DBCE"/>
    <w:multiLevelType w:val="singleLevel"/>
    <w:tmpl w:val="6C36DBCE"/>
    <w:lvl w:ilvl="0" w:tentative="0">
      <w:start w:val="1"/>
      <w:numFmt w:val="decimal"/>
      <w:lvlText w:val="%1."/>
      <w:lvlJc w:val="left"/>
      <w:pPr>
        <w:tabs>
          <w:tab w:val="left" w:pos="312"/>
        </w:tabs>
      </w:pPr>
    </w:lvl>
  </w:abstractNum>
  <w:num w:numId="1">
    <w:abstractNumId w:val="4"/>
  </w:num>
  <w:num w:numId="2">
    <w:abstractNumId w:val="1"/>
  </w:num>
  <w:num w:numId="3">
    <w:abstractNumId w:val="7"/>
  </w:num>
  <w:num w:numId="4">
    <w:abstractNumId w:val="0"/>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RhOWYxNjQ3OTcyMGUxZDFlNzg3MWRhZDlmMWIifQ=="/>
  </w:docVars>
  <w:rsids>
    <w:rsidRoot w:val="2F0944CF"/>
    <w:rsid w:val="009B284B"/>
    <w:rsid w:val="01F645BF"/>
    <w:rsid w:val="08457A0E"/>
    <w:rsid w:val="0B280F91"/>
    <w:rsid w:val="12E24340"/>
    <w:rsid w:val="180E615C"/>
    <w:rsid w:val="19874772"/>
    <w:rsid w:val="1CF11E86"/>
    <w:rsid w:val="1E085338"/>
    <w:rsid w:val="1FD86672"/>
    <w:rsid w:val="1FF879A3"/>
    <w:rsid w:val="23964CC8"/>
    <w:rsid w:val="23EF79F7"/>
    <w:rsid w:val="245568D7"/>
    <w:rsid w:val="2B4A275F"/>
    <w:rsid w:val="2D136CF6"/>
    <w:rsid w:val="2E6D243F"/>
    <w:rsid w:val="2F0944CF"/>
    <w:rsid w:val="30344140"/>
    <w:rsid w:val="32016E80"/>
    <w:rsid w:val="359F01C7"/>
    <w:rsid w:val="37E13015"/>
    <w:rsid w:val="3DCA62DD"/>
    <w:rsid w:val="3EDB0A22"/>
    <w:rsid w:val="3F6C534B"/>
    <w:rsid w:val="4096766C"/>
    <w:rsid w:val="41A0029A"/>
    <w:rsid w:val="41DF0193"/>
    <w:rsid w:val="46447149"/>
    <w:rsid w:val="46797389"/>
    <w:rsid w:val="47284EAF"/>
    <w:rsid w:val="4ADB5F39"/>
    <w:rsid w:val="4AFB3B30"/>
    <w:rsid w:val="4FDA62BF"/>
    <w:rsid w:val="5BBA764A"/>
    <w:rsid w:val="625A14A1"/>
    <w:rsid w:val="62983C23"/>
    <w:rsid w:val="65111C82"/>
    <w:rsid w:val="687409C1"/>
    <w:rsid w:val="6A54056D"/>
    <w:rsid w:val="6AE737DF"/>
    <w:rsid w:val="70F30189"/>
    <w:rsid w:val="77001017"/>
    <w:rsid w:val="770819D9"/>
    <w:rsid w:val="7B6477AA"/>
    <w:rsid w:val="7DAC5DB3"/>
    <w:rsid w:val="EDFB7B73"/>
    <w:rsid w:val="FAFB5622"/>
    <w:rsid w:val="FBFB999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 First Indent 21"/>
    <w:basedOn w:val="1"/>
    <w:qFormat/>
    <w:uiPriority w:val="0"/>
    <w:pPr>
      <w:ind w:left="420" w:leftChars="200" w:firstLine="420"/>
    </w:pPr>
  </w:style>
  <w:style w:type="paragraph" w:customStyle="1" w:styleId="15">
    <w:name w:val="_Style 1"/>
    <w:qFormat/>
    <w:uiPriority w:val="0"/>
    <w:rPr>
      <w:rFonts w:ascii="Calibri" w:hAnsi="Calibri" w:eastAsia="宋体" w:cs="宋体"/>
      <w:kern w:val="2"/>
      <w:sz w:val="28"/>
      <w:szCs w:val="22"/>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7">
    <w:name w:val="font31"/>
    <w:basedOn w:val="13"/>
    <w:qFormat/>
    <w:uiPriority w:val="0"/>
    <w:rPr>
      <w:rFonts w:hint="default" w:ascii="Times New Roman" w:hAnsi="Times New Roman" w:cs="Times New Roman"/>
      <w:color w:val="000000"/>
      <w:sz w:val="20"/>
      <w:szCs w:val="20"/>
      <w:u w:val="none"/>
    </w:rPr>
  </w:style>
  <w:style w:type="character" w:customStyle="1" w:styleId="18">
    <w:name w:val="font41"/>
    <w:basedOn w:val="13"/>
    <w:qFormat/>
    <w:uiPriority w:val="0"/>
    <w:rPr>
      <w:rFonts w:hint="eastAsia" w:ascii="宋体" w:hAnsi="宋体" w:eastAsia="宋体" w:cs="宋体"/>
      <w:color w:val="000000"/>
      <w:sz w:val="20"/>
      <w:szCs w:val="20"/>
      <w:u w:val="none"/>
    </w:rPr>
  </w:style>
  <w:style w:type="character" w:customStyle="1" w:styleId="19">
    <w:name w:val="font21"/>
    <w:basedOn w:val="13"/>
    <w:qFormat/>
    <w:uiPriority w:val="0"/>
    <w:rPr>
      <w:rFonts w:hint="default" w:ascii="Times New Roman" w:hAnsi="Times New Roman" w:cs="Times New Roman"/>
      <w:color w:val="000000"/>
      <w:sz w:val="20"/>
      <w:szCs w:val="20"/>
      <w:u w:val="none"/>
    </w:rPr>
  </w:style>
  <w:style w:type="paragraph" w:customStyle="1" w:styleId="20">
    <w:name w:val="列出段落2"/>
    <w:basedOn w:val="1"/>
    <w:qFormat/>
    <w:uiPriority w:val="0"/>
    <w:pPr>
      <w:ind w:firstLine="420"/>
    </w:pPr>
    <w:rPr>
      <w:rFonts w:ascii="Calibri" w:hAnsi="Calibri"/>
    </w:rPr>
  </w:style>
  <w:style w:type="paragraph" w:customStyle="1" w:styleId="21">
    <w:name w:val="段"/>
    <w:next w:val="1"/>
    <w:qFormat/>
    <w:uiPriority w:val="99"/>
    <w:pPr>
      <w:autoSpaceDE w:val="0"/>
      <w:autoSpaceDN w:val="0"/>
      <w:ind w:firstLine="200" w:firstLineChars="200"/>
      <w:jc w:val="both"/>
    </w:pPr>
    <w:rPr>
      <w:rFonts w:ascii="宋体" w:hAnsi="Calibri" w:eastAsia="微软雅黑" w:cs="Times New Roman"/>
      <w:sz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1760</Words>
  <Characters>1813</Characters>
  <Lines>0</Lines>
  <Paragraphs>0</Paragraphs>
  <TotalTime>17</TotalTime>
  <ScaleCrop>false</ScaleCrop>
  <LinksUpToDate>false</LinksUpToDate>
  <CharactersWithSpaces>1824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2019-04-24T09:34:00Z</dcterms:created>
  <dc:creator>2017032702</dc:creator>
  <cp:lastModifiedBy>Özyy</cp:lastModifiedBy>
  <dcterms:modified xsi:type="dcterms:W3CDTF">2025-02-05T02:34:46Z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EA30A3DFC4B140598B46FB8EDC6B6B76_13</vt:lpwstr>
  </property>
  <property fmtid="{D5CDD505-2E9C-101B-9397-08002B2CF9AE}" pid="4" name="KSOTemplateDocerSaveRecord">
    <vt:lpwstr>eyJoZGlkIjoiZmU3MDRhOWYxNjQ3OTcyMGUxZDFlNzg3MWRhZDlmMWIiLCJ1c2VySWQiOiIzNjkxMzA1MDMifQ==</vt:lpwstr>
  </property>
</Properties>
</file>