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36BB5" w14:textId="69947FDE" w:rsidR="00563390" w:rsidRDefault="00C96A24" w:rsidP="00C96A24">
      <w:pPr>
        <w:pStyle w:val="1"/>
        <w:jc w:val="center"/>
      </w:pPr>
      <w:r w:rsidRPr="00C96A24">
        <w:rPr>
          <w:rFonts w:hint="eastAsia"/>
        </w:rPr>
        <w:t>关于温州医科大学附属第二医院中药饮片及代煎等伴随服务项目的公开招标公告</w:t>
      </w:r>
    </w:p>
    <w:p w14:paraId="47DE4CE3" w14:textId="77777777" w:rsidR="00C96A24" w:rsidRDefault="00C96A24" w:rsidP="00C96A24">
      <w:pPr>
        <w:spacing w:line="360" w:lineRule="auto"/>
        <w:ind w:firstLineChars="200" w:firstLine="480"/>
        <w:rPr>
          <w:rFonts w:ascii="仿宋_GB2312" w:eastAsia="仿宋_GB2312" w:hAnsi="新宋体"/>
          <w:color w:val="000000"/>
          <w:sz w:val="24"/>
        </w:rPr>
      </w:pPr>
      <w:r>
        <w:rPr>
          <w:rFonts w:ascii="仿宋_GB2312" w:eastAsia="仿宋_GB2312" w:hAnsi="宋体" w:hint="eastAsia"/>
          <w:kern w:val="0"/>
          <w:sz w:val="24"/>
        </w:rPr>
        <w:t>为进一步加强中药饮片及中药饮片代煎等相关伴随服务采购管理，浙江社发项目管理有限公司受温州医科大学附属第二医院委托，就中药饮片及中药饮片代煎等相关伴随服务项目进行招标采购，</w:t>
      </w:r>
      <w:r>
        <w:rPr>
          <w:rFonts w:ascii="仿宋_GB2312" w:eastAsia="仿宋_GB2312" w:hAnsi="新宋体" w:hint="eastAsia"/>
          <w:color w:val="000000"/>
          <w:sz w:val="24"/>
        </w:rPr>
        <w:t>诚邀国内合格的投标人前来投标，现公告如下：</w:t>
      </w:r>
    </w:p>
    <w:p w14:paraId="3638840C"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一、招标单位：温州医科大学附属第二医院</w:t>
      </w:r>
    </w:p>
    <w:p w14:paraId="312E8332"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二、招标编号：WYEY-227-202424YP</w:t>
      </w:r>
    </w:p>
    <w:p w14:paraId="606BEFE7"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 xml:space="preserve">三、招标项目概况 </w:t>
      </w:r>
    </w:p>
    <w:tbl>
      <w:tblPr>
        <w:tblW w:w="88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1212"/>
        <w:gridCol w:w="992"/>
        <w:gridCol w:w="2551"/>
        <w:gridCol w:w="1432"/>
        <w:gridCol w:w="2253"/>
      </w:tblGrid>
      <w:tr w:rsidR="00C96A24" w14:paraId="3FC832A4" w14:textId="77777777" w:rsidTr="00840B01">
        <w:trPr>
          <w:trHeight w:val="685"/>
        </w:trPr>
        <w:tc>
          <w:tcPr>
            <w:tcW w:w="456" w:type="dxa"/>
          </w:tcPr>
          <w:p w14:paraId="27DF497C" w14:textId="77777777" w:rsidR="00C96A24" w:rsidRDefault="00C96A24" w:rsidP="00840B01">
            <w:pPr>
              <w:widowControl/>
              <w:jc w:val="center"/>
              <w:rPr>
                <w:rFonts w:ascii="仿宋_GB2312" w:eastAsia="仿宋_GB2312" w:hAnsi="宋体"/>
                <w:kern w:val="0"/>
                <w:sz w:val="24"/>
              </w:rPr>
            </w:pPr>
            <w:proofErr w:type="gramStart"/>
            <w:r>
              <w:rPr>
                <w:rFonts w:ascii="仿宋_GB2312" w:eastAsia="仿宋_GB2312" w:hAnsi="宋体" w:hint="eastAsia"/>
                <w:kern w:val="0"/>
                <w:sz w:val="24"/>
              </w:rPr>
              <w:t>标项</w:t>
            </w:r>
            <w:proofErr w:type="gramEnd"/>
          </w:p>
        </w:tc>
        <w:tc>
          <w:tcPr>
            <w:tcW w:w="1212" w:type="dxa"/>
            <w:vAlign w:val="center"/>
          </w:tcPr>
          <w:p w14:paraId="3C12E859"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项目内容</w:t>
            </w:r>
          </w:p>
        </w:tc>
        <w:tc>
          <w:tcPr>
            <w:tcW w:w="992" w:type="dxa"/>
            <w:vAlign w:val="center"/>
          </w:tcPr>
          <w:p w14:paraId="3C68710E"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品种数</w:t>
            </w:r>
          </w:p>
        </w:tc>
        <w:tc>
          <w:tcPr>
            <w:tcW w:w="2551" w:type="dxa"/>
            <w:vAlign w:val="center"/>
          </w:tcPr>
          <w:p w14:paraId="0DC5EDF2"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描述</w:t>
            </w:r>
          </w:p>
        </w:tc>
        <w:tc>
          <w:tcPr>
            <w:tcW w:w="1432" w:type="dxa"/>
            <w:vAlign w:val="center"/>
          </w:tcPr>
          <w:p w14:paraId="7D4617CE"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年预估采购金额</w:t>
            </w:r>
          </w:p>
        </w:tc>
        <w:tc>
          <w:tcPr>
            <w:tcW w:w="2253" w:type="dxa"/>
            <w:vAlign w:val="center"/>
          </w:tcPr>
          <w:p w14:paraId="050C3133"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备注</w:t>
            </w:r>
          </w:p>
        </w:tc>
      </w:tr>
      <w:tr w:rsidR="00C96A24" w14:paraId="660C4CDC" w14:textId="77777777" w:rsidTr="00840B01">
        <w:trPr>
          <w:trHeight w:val="2684"/>
        </w:trPr>
        <w:tc>
          <w:tcPr>
            <w:tcW w:w="456" w:type="dxa"/>
            <w:vAlign w:val="center"/>
          </w:tcPr>
          <w:p w14:paraId="7E4B917F" w14:textId="77777777" w:rsidR="00C96A24" w:rsidRDefault="00C96A24" w:rsidP="00840B01">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212" w:type="dxa"/>
            <w:vAlign w:val="center"/>
          </w:tcPr>
          <w:p w14:paraId="34199FC3" w14:textId="77777777" w:rsidR="00C96A24" w:rsidRDefault="00C96A24" w:rsidP="00840B01">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中药饮片</w:t>
            </w:r>
          </w:p>
        </w:tc>
        <w:tc>
          <w:tcPr>
            <w:tcW w:w="992" w:type="dxa"/>
            <w:vAlign w:val="center"/>
          </w:tcPr>
          <w:p w14:paraId="5612C199" w14:textId="77777777" w:rsidR="00C96A24" w:rsidRDefault="00C96A24" w:rsidP="00840B01">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441种</w:t>
            </w:r>
          </w:p>
        </w:tc>
        <w:tc>
          <w:tcPr>
            <w:tcW w:w="2551" w:type="dxa"/>
            <w:vAlign w:val="center"/>
          </w:tcPr>
          <w:p w14:paraId="2899E88B"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中药饮片配送服务，涉及饮片品种441种，详见饮片清单。按照采购人要求的克数规格供货。</w:t>
            </w:r>
          </w:p>
        </w:tc>
        <w:tc>
          <w:tcPr>
            <w:tcW w:w="1432" w:type="dxa"/>
            <w:vAlign w:val="center"/>
          </w:tcPr>
          <w:p w14:paraId="337AEDCB"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1200万元</w:t>
            </w:r>
          </w:p>
        </w:tc>
        <w:tc>
          <w:tcPr>
            <w:tcW w:w="2253" w:type="dxa"/>
            <w:vAlign w:val="center"/>
          </w:tcPr>
          <w:p w14:paraId="0E0161A9"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根据综合得分排序，确定排名前2供应商。</w:t>
            </w:r>
          </w:p>
        </w:tc>
      </w:tr>
      <w:tr w:rsidR="00C96A24" w14:paraId="4921EA8A" w14:textId="77777777" w:rsidTr="00840B01">
        <w:trPr>
          <w:trHeight w:val="2684"/>
        </w:trPr>
        <w:tc>
          <w:tcPr>
            <w:tcW w:w="456" w:type="dxa"/>
            <w:vAlign w:val="center"/>
          </w:tcPr>
          <w:p w14:paraId="00ED842B" w14:textId="77777777" w:rsidR="00C96A24" w:rsidRDefault="00C96A24" w:rsidP="00840B01">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w:t>
            </w:r>
          </w:p>
        </w:tc>
        <w:tc>
          <w:tcPr>
            <w:tcW w:w="1212" w:type="dxa"/>
            <w:vAlign w:val="center"/>
          </w:tcPr>
          <w:p w14:paraId="32F41CD8" w14:textId="77777777" w:rsidR="00C96A24" w:rsidRDefault="00C96A24" w:rsidP="00840B01">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中药代煎服务</w:t>
            </w:r>
          </w:p>
        </w:tc>
        <w:tc>
          <w:tcPr>
            <w:tcW w:w="992" w:type="dxa"/>
            <w:vAlign w:val="center"/>
          </w:tcPr>
          <w:p w14:paraId="5A035F4A" w14:textId="77777777" w:rsidR="00C96A24" w:rsidRDefault="00C96A24" w:rsidP="00840B01">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441种</w:t>
            </w:r>
          </w:p>
        </w:tc>
        <w:tc>
          <w:tcPr>
            <w:tcW w:w="2551" w:type="dxa"/>
            <w:vAlign w:val="center"/>
          </w:tcPr>
          <w:p w14:paraId="4E6B7089"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提供中药饮片代煎服务，可覆盖采购人全部用药目录。</w:t>
            </w:r>
          </w:p>
        </w:tc>
        <w:tc>
          <w:tcPr>
            <w:tcW w:w="1432" w:type="dxa"/>
            <w:vAlign w:val="center"/>
          </w:tcPr>
          <w:p w14:paraId="0AC9276B"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hint="eastAsia"/>
                <w:kern w:val="0"/>
                <w:sz w:val="24"/>
              </w:rPr>
              <w:t>1600万元</w:t>
            </w:r>
          </w:p>
        </w:tc>
        <w:tc>
          <w:tcPr>
            <w:tcW w:w="2253" w:type="dxa"/>
            <w:vAlign w:val="center"/>
          </w:tcPr>
          <w:p w14:paraId="61F9D9B5" w14:textId="77777777" w:rsidR="00C96A24" w:rsidRDefault="00C96A24" w:rsidP="00840B01">
            <w:pPr>
              <w:widowControl/>
              <w:jc w:val="center"/>
              <w:rPr>
                <w:rFonts w:ascii="仿宋_GB2312" w:eastAsia="仿宋_GB2312" w:hAnsi="宋体"/>
                <w:kern w:val="0"/>
                <w:sz w:val="24"/>
              </w:rPr>
            </w:pPr>
            <w:r>
              <w:rPr>
                <w:rFonts w:ascii="仿宋_GB2312" w:eastAsia="仿宋_GB2312" w:hAnsi="宋体"/>
                <w:kern w:val="0"/>
                <w:sz w:val="24"/>
              </w:rPr>
              <w:t>结算价格扣率按照</w:t>
            </w:r>
            <w:r>
              <w:rPr>
                <w:rFonts w:ascii="仿宋_GB2312" w:eastAsia="仿宋_GB2312" w:hAnsi="宋体" w:hint="eastAsia"/>
                <w:kern w:val="0"/>
                <w:sz w:val="24"/>
              </w:rPr>
              <w:t>本次招标</w:t>
            </w:r>
            <w:r>
              <w:rPr>
                <w:rFonts w:ascii="仿宋_GB2312" w:eastAsia="仿宋_GB2312" w:hAnsi="宋体"/>
                <w:kern w:val="0"/>
                <w:sz w:val="24"/>
              </w:rPr>
              <w:t>确定的饮片采购扣率执行，避免结算价格倒挂。</w:t>
            </w:r>
          </w:p>
        </w:tc>
      </w:tr>
    </w:tbl>
    <w:p w14:paraId="352F9EA7" w14:textId="77777777" w:rsidR="00C96A24" w:rsidRDefault="00C96A24" w:rsidP="00C96A24">
      <w:pPr>
        <w:spacing w:line="360" w:lineRule="auto"/>
        <w:ind w:firstLineChars="200" w:firstLine="480"/>
        <w:contextualSpacing/>
        <w:jc w:val="left"/>
        <w:rPr>
          <w:rFonts w:ascii="仿宋_GB2312" w:eastAsia="仿宋_GB2312" w:hAnsi="宋体"/>
          <w:kern w:val="0"/>
          <w:sz w:val="24"/>
        </w:rPr>
      </w:pPr>
      <w:r>
        <w:rPr>
          <w:rFonts w:ascii="仿宋_GB2312" w:eastAsia="仿宋_GB2312" w:hAnsi="宋体" w:hint="eastAsia"/>
          <w:kern w:val="0"/>
          <w:sz w:val="24"/>
        </w:rPr>
        <w:t>★：年采购金额为预估值，具体数量金额根据采购人实际需求确定。</w:t>
      </w:r>
    </w:p>
    <w:p w14:paraId="7EE6436E" w14:textId="77777777" w:rsidR="00C96A24" w:rsidRDefault="00C96A24" w:rsidP="00C96A24">
      <w:pPr>
        <w:spacing w:line="360" w:lineRule="auto"/>
        <w:ind w:firstLineChars="199" w:firstLine="478"/>
        <w:rPr>
          <w:rFonts w:ascii="仿宋_GB2312" w:eastAsia="仿宋_GB2312" w:hAnsi="宋体"/>
          <w:kern w:val="0"/>
          <w:sz w:val="24"/>
        </w:rPr>
      </w:pPr>
      <w:r>
        <w:rPr>
          <w:rFonts w:ascii="仿宋_GB2312" w:eastAsia="仿宋_GB2312" w:hAnsi="宋体" w:hint="eastAsia"/>
          <w:kern w:val="0"/>
          <w:sz w:val="24"/>
        </w:rPr>
        <w:t>四、合同期限：原则上采购周期为两年，必要时可延期至下一轮招投标。采购周期内，因政府部门调整中药饮片采购有关政策的，从其规定。</w:t>
      </w:r>
    </w:p>
    <w:p w14:paraId="62B5E033" w14:textId="77777777" w:rsidR="00C96A24" w:rsidRDefault="00C96A24" w:rsidP="00C96A24">
      <w:pPr>
        <w:tabs>
          <w:tab w:val="left" w:pos="4320"/>
        </w:tabs>
        <w:spacing w:line="360" w:lineRule="auto"/>
        <w:ind w:firstLineChars="185" w:firstLine="444"/>
        <w:rPr>
          <w:rFonts w:ascii="仿宋_GB2312" w:eastAsia="仿宋_GB2312" w:hAnsi="宋体"/>
          <w:kern w:val="0"/>
          <w:sz w:val="24"/>
        </w:rPr>
      </w:pPr>
      <w:r>
        <w:rPr>
          <w:rFonts w:ascii="仿宋_GB2312" w:eastAsia="仿宋_GB2312" w:hAnsi="宋体" w:hint="eastAsia"/>
          <w:kern w:val="0"/>
          <w:sz w:val="24"/>
        </w:rPr>
        <w:t>五、供应商（投标人）资格要求</w:t>
      </w:r>
      <w:r>
        <w:rPr>
          <w:rFonts w:ascii="仿宋_GB2312" w:eastAsia="仿宋_GB2312" w:hAnsi="宋体"/>
          <w:kern w:val="0"/>
          <w:sz w:val="24"/>
        </w:rPr>
        <w:t>:</w:t>
      </w:r>
    </w:p>
    <w:p w14:paraId="7666ED80"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（一）基本要求：</w:t>
      </w:r>
    </w:p>
    <w:p w14:paraId="65B233B2"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（1）具有独立承担民事责任的能力。</w:t>
      </w:r>
    </w:p>
    <w:p w14:paraId="00761899"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（2）具有良好的商业信誉和健全的财务会计制度。</w:t>
      </w:r>
    </w:p>
    <w:p w14:paraId="4D9A4C65"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（3）具有履行合同所必需的设备和专业技术能力。</w:t>
      </w:r>
    </w:p>
    <w:p w14:paraId="33719BFB"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（4）有依法缴纳税收和社会保障资金的良好记录。</w:t>
      </w:r>
    </w:p>
    <w:p w14:paraId="2879B098"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（5）参加政府采购活动前三年内，在经营活动中没有重大违法记录。</w:t>
      </w:r>
    </w:p>
    <w:p w14:paraId="5F788AD6"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（二）投标人应具备中药饮片相应经营资质:《企业法人营业执照》、《药品经营许可证》/《药品生产许可证》等相关资质；</w:t>
      </w:r>
    </w:p>
    <w:p w14:paraId="2E7328DB"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（三）投标人能严格按照《中华人民共和国药典》(2020年版)、《国家中药饮片炮制规范》及《</w:t>
      </w:r>
      <w:r>
        <w:rPr>
          <w:rFonts w:ascii="仿宋_GB2312" w:eastAsia="仿宋_GB2312" w:hAnsi="宋体" w:hint="eastAsia"/>
          <w:iCs/>
          <w:sz w:val="24"/>
        </w:rPr>
        <w:t>浙江省中药炮制规范</w:t>
      </w:r>
      <w:r>
        <w:rPr>
          <w:rFonts w:ascii="仿宋_GB2312" w:eastAsia="仿宋_GB2312" w:hAnsi="宋体" w:hint="eastAsia"/>
          <w:kern w:val="0"/>
          <w:sz w:val="24"/>
        </w:rPr>
        <w:t>》，能满足采购人的用药习惯，《中华人民共和国药典》及《</w:t>
      </w:r>
      <w:r>
        <w:rPr>
          <w:rFonts w:ascii="仿宋_GB2312" w:eastAsia="仿宋_GB2312" w:hAnsi="宋体" w:hint="eastAsia"/>
          <w:iCs/>
          <w:sz w:val="24"/>
        </w:rPr>
        <w:t>浙江省中药炮制规范</w:t>
      </w:r>
      <w:r>
        <w:rPr>
          <w:rFonts w:ascii="仿宋_GB2312" w:eastAsia="仿宋_GB2312" w:hAnsi="宋体" w:hint="eastAsia"/>
          <w:kern w:val="0"/>
          <w:sz w:val="24"/>
        </w:rPr>
        <w:t>》有更新的，以更新</w:t>
      </w:r>
      <w:proofErr w:type="gramStart"/>
      <w:r>
        <w:rPr>
          <w:rFonts w:ascii="仿宋_GB2312" w:eastAsia="仿宋_GB2312" w:hAnsi="宋体" w:hint="eastAsia"/>
          <w:kern w:val="0"/>
          <w:sz w:val="24"/>
        </w:rPr>
        <w:t>后标准</w:t>
      </w:r>
      <w:proofErr w:type="gramEnd"/>
      <w:r>
        <w:rPr>
          <w:rFonts w:ascii="仿宋_GB2312" w:eastAsia="仿宋_GB2312" w:hAnsi="宋体" w:hint="eastAsia"/>
          <w:kern w:val="0"/>
          <w:sz w:val="24"/>
        </w:rPr>
        <w:t>为准；</w:t>
      </w:r>
    </w:p>
    <w:p w14:paraId="12F32FBB"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（四）对特许生产和经营的中药饮片符合国家相关文件要求；</w:t>
      </w:r>
    </w:p>
    <w:p w14:paraId="167AC811"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（五）拒绝联合体投标。</w:t>
      </w:r>
    </w:p>
    <w:p w14:paraId="7F59F150"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（六）截至投标截止日前1</w:t>
      </w:r>
      <w:proofErr w:type="gramStart"/>
      <w:r>
        <w:rPr>
          <w:rFonts w:ascii="仿宋_GB2312" w:eastAsia="仿宋_GB2312" w:hAnsi="宋体" w:hint="eastAsia"/>
          <w:kern w:val="0"/>
          <w:sz w:val="24"/>
        </w:rPr>
        <w:t>日历天</w:t>
      </w:r>
      <w:proofErr w:type="gramEnd"/>
      <w:r>
        <w:rPr>
          <w:rFonts w:ascii="仿宋_GB2312" w:eastAsia="仿宋_GB2312" w:hAnsi="宋体" w:hint="eastAsia"/>
          <w:kern w:val="0"/>
          <w:sz w:val="24"/>
        </w:rPr>
        <w:t>17:00（北京时间），投标人未被列入“信用中国”网(www.creditchina.gov.cn)和“中国政府采购网”（www.ccgp.gov.cn）失信被执行人、重大税收违法案件当事人名单、政府采购严重违法失信行为记录名单且尚处于禁止参加政府采购活动期内。</w:t>
      </w:r>
    </w:p>
    <w:p w14:paraId="388B92A8"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（七）截至投标截止日投标人及其拟派项目负责人无行贿犯罪记录，以中国裁判文书网（http://wenshu.court.gov.cn/）页面查询结果为准。</w:t>
      </w:r>
    </w:p>
    <w:p w14:paraId="5D8615F7"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（八）投标人即为实际配送人。</w:t>
      </w:r>
    </w:p>
    <w:p w14:paraId="7C0583E3"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七、资格审查方式</w:t>
      </w:r>
    </w:p>
    <w:p w14:paraId="7AA18F87"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1．资格后审。</w:t>
      </w:r>
    </w:p>
    <w:p w14:paraId="230C15D2" w14:textId="77777777" w:rsidR="00C96A24" w:rsidRDefault="00C96A24" w:rsidP="00C96A24">
      <w:pPr>
        <w:widowControl/>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2．法定代表人授权委托人必须是投标单位职工。需在投标响应文件技术标部分内提供由社保机构出具的该授权代表的</w:t>
      </w:r>
      <w:proofErr w:type="gramStart"/>
      <w:r>
        <w:rPr>
          <w:rFonts w:ascii="仿宋_GB2312" w:eastAsia="仿宋_GB2312" w:hAnsi="宋体" w:hint="eastAsia"/>
          <w:kern w:val="0"/>
          <w:sz w:val="24"/>
        </w:rPr>
        <w:t>社保证明</w:t>
      </w:r>
      <w:proofErr w:type="gramEnd"/>
      <w:r>
        <w:rPr>
          <w:rFonts w:ascii="仿宋_GB2312" w:eastAsia="仿宋_GB2312" w:hAnsi="宋体" w:hint="eastAsia"/>
          <w:kern w:val="0"/>
          <w:sz w:val="24"/>
        </w:rPr>
        <w:t>（如该授权代表为离退休返聘人员的，投标响应文件技术标部分内需提供退休证明及单位聘用证明；如由第三方代理社保事项的，则需提供加盖投标人公章的委托代理协议复印件）。</w:t>
      </w:r>
    </w:p>
    <w:p w14:paraId="21ADE2CC"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八、招标文件的获取时间、方式、售价：</w:t>
      </w:r>
    </w:p>
    <w:p w14:paraId="26E266DB"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1．获取时间：2024年10月18日至2024年11月7日。</w:t>
      </w:r>
    </w:p>
    <w:p w14:paraId="5690A29E"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2．获取方式：发送加盖公章的公司资质证件【即《企业法人营业执照》、《药品经营许可证》/《药品生产许可证》、公司法定代表人授权书（附授权人</w:t>
      </w:r>
      <w:r>
        <w:rPr>
          <w:rFonts w:ascii="仿宋_GB2312" w:eastAsia="仿宋_GB2312" w:hAnsi="宋体" w:hint="eastAsia"/>
          <w:kern w:val="0"/>
          <w:sz w:val="24"/>
        </w:rPr>
        <w:lastRenderedPageBreak/>
        <w:t>及被授权人身份证复印件）、项目登记表</w:t>
      </w:r>
      <w:r>
        <w:rPr>
          <w:rFonts w:ascii="仿宋_GB2312" w:eastAsia="仿宋_GB2312" w:hAnsi="宋体"/>
          <w:kern w:val="0"/>
          <w:sz w:val="24"/>
        </w:rPr>
        <w:t xml:space="preserve"> 】</w:t>
      </w:r>
      <w:r>
        <w:rPr>
          <w:rFonts w:ascii="仿宋_GB2312" w:eastAsia="仿宋_GB2312" w:hAnsi="宋体" w:hint="eastAsia"/>
          <w:kern w:val="0"/>
          <w:sz w:val="24"/>
        </w:rPr>
        <w:t>至项目指定邮箱</w:t>
      </w:r>
      <w:r w:rsidRPr="00AD72E0">
        <w:rPr>
          <w:rFonts w:ascii="Calibri" w:hAnsi="Calibri"/>
          <w:b/>
          <w:color w:val="000000"/>
          <w:sz w:val="24"/>
        </w:rPr>
        <w:t>zjsfxmgl@163.com</w:t>
      </w:r>
      <w:r>
        <w:rPr>
          <w:rFonts w:ascii="仿宋_GB2312" w:eastAsia="仿宋_GB2312" w:hAnsi="宋体" w:hint="eastAsia"/>
          <w:kern w:val="0"/>
          <w:sz w:val="24"/>
        </w:rPr>
        <w:t>。本次招标不提供纸质版招标文件，收到邮件后将以邮件形式发送招标文件。</w:t>
      </w:r>
    </w:p>
    <w:p w14:paraId="05BB770C"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3．标书售价(元)：不收取</w:t>
      </w:r>
    </w:p>
    <w:p w14:paraId="03D2AD34" w14:textId="77777777" w:rsidR="00C96A24" w:rsidRDefault="00C96A24" w:rsidP="00C96A24">
      <w:pPr>
        <w:adjustRightInd w:val="0"/>
        <w:snapToGrid w:val="0"/>
        <w:spacing w:line="360" w:lineRule="auto"/>
        <w:ind w:firstLineChars="196" w:firstLine="470"/>
        <w:rPr>
          <w:rFonts w:ascii="仿宋_GB2312" w:eastAsia="仿宋_GB2312" w:hAnsi="宋体"/>
          <w:kern w:val="0"/>
          <w:sz w:val="24"/>
        </w:rPr>
      </w:pPr>
      <w:r>
        <w:rPr>
          <w:rFonts w:ascii="仿宋_GB2312" w:eastAsia="仿宋_GB2312" w:hAnsi="宋体" w:hint="eastAsia"/>
          <w:kern w:val="0"/>
          <w:sz w:val="24"/>
        </w:rPr>
        <w:t>九、投标截止时间：2024年11月8日9:</w:t>
      </w:r>
      <w:r>
        <w:rPr>
          <w:rFonts w:ascii="仿宋_GB2312" w:eastAsia="仿宋_GB2312" w:hAnsi="宋体"/>
          <w:kern w:val="0"/>
          <w:sz w:val="24"/>
        </w:rPr>
        <w:t>0</w:t>
      </w:r>
      <w:r>
        <w:rPr>
          <w:rFonts w:ascii="仿宋_GB2312" w:eastAsia="仿宋_GB2312" w:hAnsi="宋体" w:hint="eastAsia"/>
          <w:kern w:val="0"/>
          <w:sz w:val="24"/>
        </w:rPr>
        <w:t>0（北京时间）</w:t>
      </w:r>
    </w:p>
    <w:p w14:paraId="444B4CF4" w14:textId="77777777" w:rsidR="00C96A24" w:rsidRDefault="00C96A24" w:rsidP="00C96A24">
      <w:pPr>
        <w:adjustRightInd w:val="0"/>
        <w:snapToGrid w:val="0"/>
        <w:spacing w:line="360" w:lineRule="auto"/>
        <w:ind w:firstLineChars="196" w:firstLine="470"/>
        <w:rPr>
          <w:rFonts w:ascii="仿宋_GB2312" w:eastAsia="仿宋_GB2312" w:hAnsi="宋体"/>
          <w:kern w:val="0"/>
          <w:sz w:val="24"/>
        </w:rPr>
      </w:pPr>
      <w:r>
        <w:rPr>
          <w:rFonts w:ascii="仿宋_GB2312" w:eastAsia="仿宋_GB2312" w:hAnsi="宋体" w:hint="eastAsia"/>
          <w:kern w:val="0"/>
          <w:sz w:val="24"/>
        </w:rPr>
        <w:t>十、投标地址：</w:t>
      </w:r>
      <w:r w:rsidRPr="007C0DBD">
        <w:rPr>
          <w:rFonts w:ascii="仿宋_GB2312" w:eastAsia="仿宋_GB2312" w:hAnsi="宋体" w:hint="eastAsia"/>
          <w:kern w:val="0"/>
          <w:sz w:val="24"/>
        </w:rPr>
        <w:t>温州医科大学附属第二医院龙湾院区</w:t>
      </w:r>
      <w:r>
        <w:rPr>
          <w:rFonts w:ascii="仿宋_GB2312" w:eastAsia="仿宋_GB2312" w:hAnsi="宋体" w:hint="eastAsia"/>
          <w:kern w:val="0"/>
          <w:sz w:val="24"/>
        </w:rPr>
        <w:t xml:space="preserve"> 温州市龙湾区温州大道1111号(具体会议室地址详见后续公告)，逾期送达或未按要求密封的投标文件将予以拒收。</w:t>
      </w:r>
    </w:p>
    <w:p w14:paraId="17D3F4CD" w14:textId="77777777" w:rsidR="00C96A24" w:rsidRDefault="00C96A24" w:rsidP="00C96A24">
      <w:pPr>
        <w:adjustRightInd w:val="0"/>
        <w:snapToGrid w:val="0"/>
        <w:spacing w:line="360" w:lineRule="auto"/>
        <w:ind w:firstLineChars="196" w:firstLine="470"/>
        <w:rPr>
          <w:rFonts w:ascii="仿宋_GB2312" w:eastAsia="仿宋_GB2312" w:hAnsi="宋体"/>
          <w:kern w:val="0"/>
          <w:sz w:val="24"/>
        </w:rPr>
      </w:pPr>
      <w:r>
        <w:rPr>
          <w:rFonts w:ascii="仿宋_GB2312" w:eastAsia="仿宋_GB2312" w:hAnsi="宋体" w:hint="eastAsia"/>
          <w:kern w:val="0"/>
          <w:sz w:val="24"/>
        </w:rPr>
        <w:t>十一、开标时间：2024年11月8日9:</w:t>
      </w:r>
      <w:r>
        <w:rPr>
          <w:rFonts w:ascii="仿宋_GB2312" w:eastAsia="仿宋_GB2312" w:hAnsi="宋体"/>
          <w:kern w:val="0"/>
          <w:sz w:val="24"/>
        </w:rPr>
        <w:t>0</w:t>
      </w:r>
      <w:r>
        <w:rPr>
          <w:rFonts w:ascii="仿宋_GB2312" w:eastAsia="仿宋_GB2312" w:hAnsi="宋体" w:hint="eastAsia"/>
          <w:kern w:val="0"/>
          <w:sz w:val="24"/>
        </w:rPr>
        <w:t>0（北京时间）</w:t>
      </w:r>
    </w:p>
    <w:p w14:paraId="39630CE1" w14:textId="77777777" w:rsidR="00C96A24" w:rsidRDefault="00C96A24" w:rsidP="00C96A24">
      <w:pPr>
        <w:spacing w:line="360" w:lineRule="auto"/>
        <w:ind w:firstLineChars="176" w:firstLine="422"/>
        <w:rPr>
          <w:rFonts w:ascii="仿宋_GB2312" w:eastAsia="仿宋_GB2312" w:hAnsi="宋体"/>
          <w:kern w:val="0"/>
          <w:sz w:val="24"/>
        </w:rPr>
      </w:pPr>
      <w:r>
        <w:rPr>
          <w:rFonts w:ascii="仿宋_GB2312" w:eastAsia="仿宋_GB2312" w:hAnsi="宋体" w:hint="eastAsia"/>
          <w:kern w:val="0"/>
          <w:sz w:val="24"/>
        </w:rPr>
        <w:t>十二、开标地址：</w:t>
      </w:r>
      <w:r w:rsidRPr="007C0DBD">
        <w:rPr>
          <w:rFonts w:ascii="仿宋_GB2312" w:eastAsia="仿宋_GB2312" w:hAnsi="宋体" w:hint="eastAsia"/>
          <w:kern w:val="0"/>
          <w:sz w:val="24"/>
        </w:rPr>
        <w:t>温州医科大学附属第二医院龙湾院区</w:t>
      </w:r>
      <w:r>
        <w:rPr>
          <w:rFonts w:ascii="仿宋_GB2312" w:eastAsia="仿宋_GB2312" w:hAnsi="宋体" w:hint="eastAsia"/>
          <w:kern w:val="0"/>
          <w:sz w:val="24"/>
        </w:rPr>
        <w:t xml:space="preserve"> 温州市龙湾区温州大道1111号(具体会议室地址详见后续公告)，逾期送达或未按要求密封的投标文件将予以拒收。</w:t>
      </w:r>
    </w:p>
    <w:p w14:paraId="27F1D441"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十三、其他事项：</w:t>
      </w:r>
    </w:p>
    <w:p w14:paraId="03688427"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1、供应商认为招标文件、招标过程和中标结果使自己的权益受到损害的，可以在知道或者应知其权益受到损害之日起七个工作日内，针对同一采购程序环节一次性以书面形式向采购组织机构或招标人提出质疑。</w:t>
      </w:r>
    </w:p>
    <w:p w14:paraId="5BA28B08"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2、本项目为非政府采购项目。</w:t>
      </w:r>
    </w:p>
    <w:p w14:paraId="05BC9AF6" w14:textId="77777777" w:rsidR="00C96A24" w:rsidRDefault="00C96A24" w:rsidP="00C96A24">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十四、联系方式：</w:t>
      </w:r>
    </w:p>
    <w:p w14:paraId="2F9175CF"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采购单位：温州医科大学附属第二医院</w:t>
      </w:r>
    </w:p>
    <w:p w14:paraId="7A6140A4"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联系地址：温州市龙湾区温州大道1111号</w:t>
      </w:r>
    </w:p>
    <w:p w14:paraId="7FF9C77D"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联系人：</w:t>
      </w:r>
      <w:r>
        <w:rPr>
          <w:rFonts w:ascii="仿宋_GB2312" w:eastAsia="仿宋_GB2312" w:hAnsi="宋体"/>
          <w:kern w:val="0"/>
          <w:sz w:val="24"/>
        </w:rPr>
        <w:t xml:space="preserve"> </w:t>
      </w:r>
      <w:r>
        <w:rPr>
          <w:rFonts w:ascii="仿宋_GB2312" w:eastAsia="仿宋_GB2312" w:hAnsi="宋体" w:hint="eastAsia"/>
          <w:kern w:val="0"/>
          <w:sz w:val="24"/>
        </w:rPr>
        <w:t>胡</w:t>
      </w:r>
      <w:r>
        <w:rPr>
          <w:rFonts w:ascii="仿宋_GB2312" w:eastAsia="仿宋_GB2312" w:hAnsi="宋体"/>
          <w:kern w:val="0"/>
          <w:sz w:val="24"/>
        </w:rPr>
        <w:t>老师</w:t>
      </w:r>
    </w:p>
    <w:p w14:paraId="2C67069D"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联系电话：</w:t>
      </w:r>
      <w:r>
        <w:rPr>
          <w:rFonts w:ascii="仿宋_GB2312" w:eastAsia="仿宋_GB2312" w:hAnsi="宋体"/>
          <w:kern w:val="0"/>
          <w:sz w:val="24"/>
        </w:rPr>
        <w:t xml:space="preserve"> 0577-</w:t>
      </w:r>
      <w:r>
        <w:rPr>
          <w:rFonts w:ascii="仿宋_GB2312" w:eastAsia="仿宋_GB2312" w:hAnsi="宋体" w:hint="eastAsia"/>
          <w:kern w:val="0"/>
          <w:sz w:val="24"/>
        </w:rPr>
        <w:t>85676874</w:t>
      </w:r>
    </w:p>
    <w:p w14:paraId="077586C9"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代理机构：浙江社发项目管理有限公司</w:t>
      </w:r>
    </w:p>
    <w:p w14:paraId="42C08704"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联系地址：温州市车站大道473号天和大厦A幢1901室</w:t>
      </w:r>
    </w:p>
    <w:p w14:paraId="6F086E8E"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联系人：郑先生</w:t>
      </w:r>
    </w:p>
    <w:p w14:paraId="31863014" w14:textId="77777777" w:rsidR="00C96A24" w:rsidRDefault="00C96A24" w:rsidP="00C96A24">
      <w:pPr>
        <w:spacing w:line="360" w:lineRule="auto"/>
        <w:ind w:firstLineChars="200" w:firstLine="480"/>
        <w:contextualSpacing/>
        <w:rPr>
          <w:rFonts w:ascii="仿宋_GB2312" w:eastAsia="仿宋_GB2312" w:hAnsi="宋体"/>
          <w:kern w:val="0"/>
          <w:sz w:val="24"/>
        </w:rPr>
      </w:pPr>
      <w:r>
        <w:rPr>
          <w:rFonts w:ascii="仿宋_GB2312" w:eastAsia="仿宋_GB2312" w:hAnsi="宋体" w:hint="eastAsia"/>
          <w:kern w:val="0"/>
          <w:sz w:val="24"/>
        </w:rPr>
        <w:t>联系电话：0577-88980211</w:t>
      </w:r>
    </w:p>
    <w:p w14:paraId="03EF37BA" w14:textId="77777777" w:rsidR="00C96A24" w:rsidRDefault="00C96A24" w:rsidP="00C96A24">
      <w:pPr>
        <w:spacing w:line="360" w:lineRule="auto"/>
        <w:ind w:leftChars="228" w:left="479"/>
        <w:contextualSpacing/>
        <w:rPr>
          <w:rFonts w:ascii="仿宋_GB2312" w:eastAsia="仿宋_GB2312" w:hAnsi="宋体"/>
          <w:kern w:val="0"/>
          <w:sz w:val="24"/>
        </w:rPr>
      </w:pPr>
      <w:r>
        <w:rPr>
          <w:rFonts w:ascii="仿宋_GB2312" w:eastAsia="仿宋_GB2312" w:hAnsi="宋体" w:hint="eastAsia"/>
          <w:kern w:val="0"/>
          <w:sz w:val="24"/>
        </w:rPr>
        <w:t>监督部门：温州医科大学附属第二医院纪委办公室</w:t>
      </w:r>
      <w:r>
        <w:rPr>
          <w:rFonts w:ascii="仿宋_GB2312" w:eastAsia="仿宋_GB2312" w:hAnsi="宋体" w:hint="eastAsia"/>
          <w:kern w:val="0"/>
          <w:sz w:val="24"/>
        </w:rPr>
        <w:br/>
        <w:t>联系电话：0577-85676895</w:t>
      </w:r>
    </w:p>
    <w:p w14:paraId="36663116" w14:textId="77777777" w:rsidR="00C96A24" w:rsidRPr="00C96A24" w:rsidRDefault="00C96A24" w:rsidP="00C96A24">
      <w:pPr>
        <w:rPr>
          <w:rFonts w:hint="eastAsia"/>
        </w:rPr>
      </w:pPr>
    </w:p>
    <w:sectPr w:rsidR="00C96A24" w:rsidRPr="00C96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9"/>
    <w:rsid w:val="00563390"/>
    <w:rsid w:val="00814A5B"/>
    <w:rsid w:val="00A56C8C"/>
    <w:rsid w:val="00C96A24"/>
    <w:rsid w:val="00F72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447A"/>
  <w15:chartTrackingRefBased/>
  <w15:docId w15:val="{30F1BCC6-C569-4D9A-A78F-11A343A9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A2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A2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世奇 蔡</dc:creator>
  <cp:keywords/>
  <dc:description/>
  <cp:lastModifiedBy>世奇 蔡</cp:lastModifiedBy>
  <cp:revision>2</cp:revision>
  <dcterms:created xsi:type="dcterms:W3CDTF">2024-10-18T08:48:00Z</dcterms:created>
  <dcterms:modified xsi:type="dcterms:W3CDTF">2024-10-18T08:48:00Z</dcterms:modified>
</cp:coreProperties>
</file>