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9632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9E200A1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648AADC8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3158EDB0">
      <w:pPr>
        <w:pStyle w:val="7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0B3DD368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58EA6087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供应商营业执照复印件</w:t>
      </w:r>
      <w:r>
        <w:rPr>
          <w:rFonts w:hint="eastAsia" w:ascii="宋体" w:hAnsi="宋体"/>
          <w:bCs/>
          <w:sz w:val="24"/>
          <w:lang w:eastAsia="zh-CN"/>
        </w:rPr>
        <w:t>；</w:t>
      </w:r>
    </w:p>
    <w:p w14:paraId="5812E159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法人或委托人身份证复印件，</w:t>
      </w:r>
      <w:r>
        <w:rPr>
          <w:rFonts w:hint="eastAsia" w:ascii="宋体" w:hAnsi="宋体"/>
          <w:bCs/>
          <w:sz w:val="24"/>
          <w:lang w:val="en-US" w:eastAsia="zh-CN"/>
        </w:rPr>
        <w:t>若是委托人，还需提供法人授权委托书；</w:t>
      </w:r>
    </w:p>
    <w:p w14:paraId="7488F8D5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</w:t>
      </w:r>
      <w:r>
        <w:rPr>
          <w:rFonts w:hint="eastAsia" w:ascii="宋体" w:hAnsi="宋体"/>
          <w:bCs/>
          <w:sz w:val="24"/>
          <w:lang w:val="en-US" w:eastAsia="zh-CN"/>
        </w:rPr>
        <w:t>总</w:t>
      </w:r>
      <w:r>
        <w:rPr>
          <w:rFonts w:hint="eastAsia" w:ascii="宋体" w:hAnsi="宋体"/>
          <w:bCs/>
          <w:sz w:val="24"/>
        </w:rPr>
        <w:t>价包含货物到达医院指定位置并能正常使用所需的一切费用，包括但不限于</w:t>
      </w:r>
      <w:r>
        <w:rPr>
          <w:rFonts w:hint="eastAsia" w:ascii="宋体" w:hAnsi="宋体"/>
          <w:bCs/>
          <w:sz w:val="24"/>
          <w:lang w:val="en-US" w:eastAsia="zh-CN"/>
        </w:rPr>
        <w:t>货物费、</w:t>
      </w:r>
      <w:r>
        <w:rPr>
          <w:rFonts w:hint="eastAsia" w:ascii="宋体" w:hAnsi="宋体"/>
          <w:bCs/>
          <w:sz w:val="24"/>
        </w:rPr>
        <w:t>包装费、运输费、装卸费、</w:t>
      </w:r>
      <w:r>
        <w:rPr>
          <w:rFonts w:hint="eastAsia" w:ascii="宋体" w:hAnsi="宋体"/>
          <w:bCs/>
          <w:sz w:val="24"/>
          <w:lang w:val="en-US" w:eastAsia="zh-CN"/>
        </w:rPr>
        <w:t>更换费</w:t>
      </w:r>
      <w:r>
        <w:rPr>
          <w:rFonts w:hint="eastAsia"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  <w:lang w:val="en-US" w:eastAsia="zh-CN"/>
        </w:rPr>
        <w:t>调试费、</w:t>
      </w:r>
      <w:r>
        <w:rPr>
          <w:rFonts w:hint="eastAsia" w:ascii="宋体" w:hAnsi="宋体"/>
          <w:bCs/>
          <w:sz w:val="24"/>
        </w:rPr>
        <w:t>税费</w:t>
      </w:r>
      <w:r>
        <w:rPr>
          <w:rFonts w:hint="eastAsia" w:ascii="宋体" w:hAnsi="宋体"/>
          <w:bCs/>
          <w:sz w:val="24"/>
          <w:lang w:eastAsia="zh-CN"/>
        </w:rPr>
        <w:t>、</w:t>
      </w:r>
      <w:r>
        <w:rPr>
          <w:rFonts w:hint="eastAsia" w:ascii="宋体" w:hAnsi="宋体"/>
          <w:bCs/>
          <w:sz w:val="24"/>
        </w:rPr>
        <w:t>售后等。</w:t>
      </w:r>
    </w:p>
    <w:p w14:paraId="3F74696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62397F43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0E0E08F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06161FBB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</w:rPr>
        <w:t>技术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</w:rPr>
        <w:t>规格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</w:rPr>
        <w:t>要求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  <w:t>：</w:t>
      </w:r>
    </w:p>
    <w:p w14:paraId="4FF58D2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  <w:t>项目地址：</w:t>
      </w:r>
    </w:p>
    <w:p w14:paraId="774907D5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  <w:t>温州医科大学附属第二医院鹿城院区学院路部（学院西路109号）</w:t>
      </w:r>
    </w:p>
    <w:p w14:paraId="342B9561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  <w:t>服务周期：下单后10个工作日完成维修更换。</w:t>
      </w:r>
    </w:p>
    <w:p w14:paraId="7CF74FA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  <w:t>项目具体需求：待维修更换设备位于温州医科大学附属第二医院鹿城院区学院路部7幢地下室，设备数量：2台克雷登牌锅炉；设备制造商：上海克雷登工贸发展有限公司；机组型号：SEOG-254/1.0；现需求为：隔膜泵膜片及相关配件运行已达建议时长，引发系统报警提醒，为不影响水泵使用和性能，考虑进行维修更换。</w:t>
      </w:r>
    </w:p>
    <w:p w14:paraId="2E5D44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highlight w:val="none"/>
          <w:lang w:val="en-US" w:eastAsia="zh-CN"/>
        </w:rPr>
        <w:t>费用结算：本项目维修更换服务完成且设备正常运行10个工作日，供应商开具对应数额的符合采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购人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财务要求的正式发票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，采购人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在审批完成后7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个工作日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付款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。</w:t>
      </w:r>
    </w:p>
    <w:p w14:paraId="1A5C2B86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eastAsia="宋体"/>
          <w:b/>
          <w:bCs/>
          <w:sz w:val="24"/>
          <w:highlight w:val="green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405"/>
        <w:tblOverlap w:val="never"/>
        <w:tblW w:w="10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61"/>
        <w:gridCol w:w="2015"/>
        <w:gridCol w:w="875"/>
        <w:gridCol w:w="435"/>
        <w:gridCol w:w="735"/>
        <w:gridCol w:w="826"/>
        <w:gridCol w:w="1289"/>
        <w:gridCol w:w="1755"/>
        <w:gridCol w:w="23"/>
      </w:tblGrid>
      <w:tr w14:paraId="2DDD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103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鹿城院区学院路部克雷登牌锅炉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隔膜泵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维修更换服务</w:t>
            </w:r>
          </w:p>
        </w:tc>
      </w:tr>
      <w:tr w14:paraId="2F03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 </w:t>
            </w:r>
          </w:p>
        </w:tc>
      </w:tr>
      <w:tr w14:paraId="0B37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鹿城院区学院路部克雷登牌锅炉隔膜泵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维修更换服务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F8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103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克雷登牌锅炉隔膜泵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</w:tr>
      <w:tr w14:paraId="7DA6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 </w:t>
            </w:r>
          </w:p>
        </w:tc>
      </w:tr>
      <w:tr w14:paraId="073A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水泵膜片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860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SEOG-254/1.0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2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248410" cy="1664335"/>
                  <wp:effectExtent l="0" t="0" r="8890" b="12065"/>
                  <wp:docPr id="4" name="图片 4" descr="1dc9aa344d2b0260cf83ca5c6cb9f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dc9aa344d2b0260cf83ca5c6cb9f8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F1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复位弹簧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8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SEOG-254/1.0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10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248410" cy="1664335"/>
                  <wp:effectExtent l="0" t="0" r="8890" b="12065"/>
                  <wp:docPr id="5" name="图片 5" descr="da0391cd3749547845cae3cd11d76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a0391cd3749547845cae3cd11d76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7D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隔膜片垫圈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SEOG-254/1.0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64970" cy="1249045"/>
                  <wp:effectExtent l="0" t="0" r="8255" b="11430"/>
                  <wp:docPr id="6" name="图片 6" descr="d10981ff8888086cb706007313d8e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10981ff8888086cb706007313d8e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6497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0F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水泵液压油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10L/桶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7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美孚150</w:t>
            </w:r>
          </w:p>
        </w:tc>
      </w:tr>
      <w:tr w14:paraId="39B6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4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注1：更换后确保锅炉正常运行，质保期自配件安装之日起锅炉运行6个月。</w:t>
            </w:r>
          </w:p>
          <w:p w14:paraId="3BFB8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注2：报价包括但不限于货物费、包装费、运输费、装卸费、更换调试费、税费、售后等。</w:t>
            </w:r>
          </w:p>
          <w:p w14:paraId="2F9BA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注3：上述图片供参考，可自行勘查现场，现场勘查联系人：陈老师 0577-88002669</w:t>
            </w:r>
          </w:p>
        </w:tc>
      </w:tr>
    </w:tbl>
    <w:p w14:paraId="0D77039D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</w:p>
    <w:p w14:paraId="345F5BEE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设备参考图片：</w:t>
      </w:r>
    </w:p>
    <w:p w14:paraId="5462E16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479675" cy="3308350"/>
            <wp:effectExtent l="0" t="0" r="15875" b="6350"/>
            <wp:docPr id="2" name="图片 2" descr="371ad4173474e45f125d73eda3b4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1ad4173474e45f125d73eda3b40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480945" cy="3310255"/>
            <wp:effectExtent l="0" t="0" r="14605" b="4445"/>
            <wp:docPr id="3" name="图片 3" descr="6b13621ff1059f82a841feb6f7f3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13621ff1059f82a841feb6f7f3e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0F9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6E6BF93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50F81F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7F44507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705200A1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2A2766B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B80ED8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30F309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4612696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78A4639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7CEFFEDE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6C0FABC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9D85DB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10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437"/>
        <w:gridCol w:w="872"/>
        <w:gridCol w:w="819"/>
        <w:gridCol w:w="1636"/>
        <w:gridCol w:w="1527"/>
        <w:gridCol w:w="1267"/>
        <w:gridCol w:w="23"/>
      </w:tblGrid>
      <w:tr w14:paraId="0734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10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鹿城院区学院路部克雷登牌锅炉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隔膜泵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维修更换服务</w:t>
            </w:r>
          </w:p>
        </w:tc>
      </w:tr>
      <w:tr w14:paraId="596D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 </w:t>
            </w:r>
          </w:p>
        </w:tc>
      </w:tr>
      <w:tr w14:paraId="5A59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鹿城院区学院路部克雷登牌锅炉隔膜泵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维修更换服务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69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9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注1：更换后确保锅炉正常运行，质保期自配件安装之日起锅炉运行6个月。</w:t>
            </w:r>
          </w:p>
          <w:p w14:paraId="409D9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注2：报价包括但不限于需更换的相关配件费用、包装费、运输费、装卸费、更换调试费、税费、售后等。</w:t>
            </w:r>
          </w:p>
          <w:p w14:paraId="6A7B7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注3：投标人已仔细研究了鹿城院区学院路部克雷登牌锅炉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隔膜泵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维修更换服务项目的情况说明，已充分理解并掌握了本询价项目的全部有关情况。同意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接受并响应询价文件的全部内容和条件。</w:t>
            </w:r>
          </w:p>
          <w:p w14:paraId="1C898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▲注3：报价不得高于预算价格28000元。</w:t>
            </w:r>
          </w:p>
        </w:tc>
      </w:tr>
    </w:tbl>
    <w:p w14:paraId="65ED3D43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D90CA25"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2722312C">
      <w:pPr>
        <w:numPr>
          <w:ilvl w:val="0"/>
          <w:numId w:val="0"/>
        </w:numPr>
        <w:wordWrap w:val="0"/>
        <w:spacing w:line="360" w:lineRule="auto"/>
        <w:ind w:leftChars="0" w:firstLine="4480" w:firstLineChars="14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 w14:paraId="17F046C5">
      <w:pPr>
        <w:numPr>
          <w:ilvl w:val="0"/>
          <w:numId w:val="0"/>
        </w:numPr>
        <w:wordWrap w:val="0"/>
        <w:spacing w:line="360" w:lineRule="auto"/>
        <w:ind w:leftChars="0" w:firstLine="4480" w:firstLineChars="140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 w14:paraId="6315B3F2">
      <w:pPr>
        <w:numPr>
          <w:ilvl w:val="0"/>
          <w:numId w:val="0"/>
        </w:numPr>
        <w:spacing w:line="360" w:lineRule="auto"/>
        <w:ind w:firstLine="4480" w:firstLineChars="1400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57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27B1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27B1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19975EC"/>
    <w:rsid w:val="02E327D6"/>
    <w:rsid w:val="0D0F7651"/>
    <w:rsid w:val="0E6059EA"/>
    <w:rsid w:val="0F5F3EF3"/>
    <w:rsid w:val="109F2626"/>
    <w:rsid w:val="137757A2"/>
    <w:rsid w:val="14CF2613"/>
    <w:rsid w:val="19694734"/>
    <w:rsid w:val="1B727D13"/>
    <w:rsid w:val="1D760135"/>
    <w:rsid w:val="1F5D7D23"/>
    <w:rsid w:val="20B45AB9"/>
    <w:rsid w:val="21DC0A30"/>
    <w:rsid w:val="23825FAA"/>
    <w:rsid w:val="2F1D0AB7"/>
    <w:rsid w:val="2FE14059"/>
    <w:rsid w:val="30F77FD8"/>
    <w:rsid w:val="31DB3455"/>
    <w:rsid w:val="32767059"/>
    <w:rsid w:val="341B5593"/>
    <w:rsid w:val="37735685"/>
    <w:rsid w:val="3A712684"/>
    <w:rsid w:val="3AA75922"/>
    <w:rsid w:val="3EFE0783"/>
    <w:rsid w:val="47E257E5"/>
    <w:rsid w:val="483B05CC"/>
    <w:rsid w:val="49363FBB"/>
    <w:rsid w:val="495B436F"/>
    <w:rsid w:val="49D6737B"/>
    <w:rsid w:val="4AB12B4E"/>
    <w:rsid w:val="4D78603B"/>
    <w:rsid w:val="4DC36FD1"/>
    <w:rsid w:val="52923265"/>
    <w:rsid w:val="53165ACD"/>
    <w:rsid w:val="56645E6B"/>
    <w:rsid w:val="56F15000"/>
    <w:rsid w:val="604D1DE8"/>
    <w:rsid w:val="610B4A82"/>
    <w:rsid w:val="621C6FEF"/>
    <w:rsid w:val="621E2D67"/>
    <w:rsid w:val="66DD2FA7"/>
    <w:rsid w:val="66E171AB"/>
    <w:rsid w:val="66F83B86"/>
    <w:rsid w:val="6A6D0DD3"/>
    <w:rsid w:val="6DE46FEE"/>
    <w:rsid w:val="6E6B2E90"/>
    <w:rsid w:val="6F6C0CAA"/>
    <w:rsid w:val="714F4CEB"/>
    <w:rsid w:val="719975EC"/>
    <w:rsid w:val="71C01745"/>
    <w:rsid w:val="72396B61"/>
    <w:rsid w:val="74B03CF2"/>
    <w:rsid w:val="75237638"/>
    <w:rsid w:val="77012AF6"/>
    <w:rsid w:val="77127D1B"/>
    <w:rsid w:val="79780E7C"/>
    <w:rsid w:val="7C8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1067</Words>
  <Characters>1151</Characters>
  <Lines>0</Lines>
  <Paragraphs>0</Paragraphs>
  <TotalTime>1</TotalTime>
  <ScaleCrop>false</ScaleCrop>
  <LinksUpToDate>false</LinksUpToDate>
  <CharactersWithSpaces>1167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2024-09-20T03:20:30Z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7BAB109E946343C980F9B0FFAD382216_13</vt:lpwstr>
  </property>
</Properties>
</file>