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2D6DE">
      <w:pPr>
        <w:jc w:val="center"/>
        <w:rPr>
          <w:rFonts w:hint="eastAsia"/>
          <w:sz w:val="36"/>
          <w:szCs w:val="32"/>
        </w:rPr>
      </w:pPr>
      <w:r>
        <w:rPr>
          <w:rFonts w:hint="eastAsia"/>
          <w:sz w:val="36"/>
          <w:szCs w:val="32"/>
        </w:rPr>
        <w:t>关于做好2024年研究生学业奖学金评审工作的通知</w:t>
      </w:r>
    </w:p>
    <w:p w14:paraId="1ECFDE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p>
    <w:p w14:paraId="492F144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各位同学：</w:t>
      </w:r>
    </w:p>
    <w:p w14:paraId="2713CD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根据《温州医科大学研究生教育收费及奖助体系实施办法》、《温州医科大学研究生学业奖学金管理暂行办法》（温医大〔2022〕</w:t>
      </w:r>
      <w:r>
        <w:rPr>
          <w:rFonts w:hint="default" w:eastAsia="宋体" w:asciiTheme="minorAscii" w:hAnsiTheme="minorAscii" w:cstheme="minorBidi"/>
          <w:kern w:val="2"/>
          <w:sz w:val="28"/>
          <w:szCs w:val="24"/>
          <w:lang w:val="en-US" w:eastAsia="zh-CN" w:bidi="ar-SA"/>
        </w:rPr>
        <w:t>69</w:t>
      </w:r>
      <w:r>
        <w:rPr>
          <w:rFonts w:hint="eastAsia" w:eastAsia="宋体" w:asciiTheme="minorAscii" w:hAnsiTheme="minorAscii" w:cstheme="minorBidi"/>
          <w:kern w:val="2"/>
          <w:sz w:val="28"/>
          <w:szCs w:val="24"/>
          <w:lang w:val="en-US" w:eastAsia="zh-CN" w:bidi="ar-SA"/>
        </w:rPr>
        <w:t>号）等文件精神，为做好我校</w:t>
      </w:r>
      <w:r>
        <w:rPr>
          <w:rFonts w:hint="default" w:eastAsia="宋体" w:asciiTheme="minorAscii" w:hAnsiTheme="minorAscii" w:cstheme="minorBidi"/>
          <w:kern w:val="2"/>
          <w:sz w:val="28"/>
          <w:szCs w:val="24"/>
          <w:lang w:val="en-US" w:eastAsia="zh-CN" w:bidi="ar-SA"/>
        </w:rPr>
        <w:t>2024</w:t>
      </w:r>
      <w:r>
        <w:rPr>
          <w:rFonts w:hint="eastAsia" w:eastAsia="宋体" w:asciiTheme="minorAscii" w:hAnsiTheme="minorAscii" w:cstheme="minorBidi"/>
          <w:kern w:val="2"/>
          <w:sz w:val="28"/>
          <w:szCs w:val="24"/>
          <w:lang w:val="en-US" w:eastAsia="zh-CN" w:bidi="ar-SA"/>
        </w:rPr>
        <w:t>年研究生学业奖学金评审工作，现就有关事宜通知如下：</w:t>
      </w:r>
    </w:p>
    <w:p w14:paraId="7A519A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一、参评对象</w:t>
      </w:r>
    </w:p>
    <w:p w14:paraId="3D620D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（一）学业奖学金的申请对象为具有中华人民共和国国籍且纳入国家研究生招生计划的在校全日制（全脱产学习，非延期毕业）研究生。具体包括：2022级研究生、2023级研究生和2024级研究生。</w:t>
      </w:r>
      <w:r>
        <w:rPr>
          <w:rFonts w:hint="eastAsia" w:eastAsia="宋体" w:asciiTheme="minorAscii" w:hAnsiTheme="minorAscii" w:cstheme="minorBidi"/>
          <w:kern w:val="2"/>
          <w:sz w:val="28"/>
          <w:szCs w:val="24"/>
          <w:highlight w:val="yellow"/>
          <w:lang w:val="en-US" w:eastAsia="zh-CN" w:bidi="ar-SA"/>
        </w:rPr>
        <w:t>（注意：</w:t>
      </w:r>
      <w:r>
        <w:rPr>
          <w:rFonts w:hint="default" w:eastAsia="宋体" w:asciiTheme="minorAscii" w:hAnsiTheme="minorAscii" w:cstheme="minorBidi"/>
          <w:kern w:val="2"/>
          <w:sz w:val="28"/>
          <w:szCs w:val="24"/>
          <w:highlight w:val="yellow"/>
          <w:lang w:val="en-US" w:eastAsia="zh-CN" w:bidi="ar-SA"/>
        </w:rPr>
        <w:t>4</w:t>
      </w:r>
      <w:r>
        <w:rPr>
          <w:rFonts w:hint="eastAsia" w:eastAsia="宋体" w:asciiTheme="minorAscii" w:hAnsiTheme="minorAscii" w:cstheme="minorBidi"/>
          <w:kern w:val="2"/>
          <w:sz w:val="28"/>
          <w:szCs w:val="24"/>
          <w:highlight w:val="yellow"/>
          <w:lang w:val="en-US" w:eastAsia="zh-CN" w:bidi="ar-SA"/>
        </w:rPr>
        <w:t>、</w:t>
      </w:r>
      <w:r>
        <w:rPr>
          <w:rFonts w:hint="default" w:eastAsia="宋体" w:asciiTheme="minorAscii" w:hAnsiTheme="minorAscii" w:cstheme="minorBidi"/>
          <w:kern w:val="2"/>
          <w:sz w:val="28"/>
          <w:szCs w:val="24"/>
          <w:highlight w:val="yellow"/>
          <w:lang w:val="en-US" w:eastAsia="zh-CN" w:bidi="ar-SA"/>
        </w:rPr>
        <w:t>5</w:t>
      </w:r>
      <w:r>
        <w:rPr>
          <w:rFonts w:hint="eastAsia" w:eastAsia="宋体" w:asciiTheme="minorAscii" w:hAnsiTheme="minorAscii" w:cstheme="minorBidi"/>
          <w:kern w:val="2"/>
          <w:sz w:val="28"/>
          <w:szCs w:val="24"/>
          <w:highlight w:val="yellow"/>
          <w:lang w:val="en-US" w:eastAsia="zh-CN" w:bidi="ar-SA"/>
        </w:rPr>
        <w:t>年学制的博士生）</w:t>
      </w:r>
    </w:p>
    <w:p w14:paraId="6E2BF1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（二）获得研究生学业奖学金奖励的研究生，可以同时申请研究生国家奖学金、研究生国家助学金等其他研究生国家奖助政策以及校内其他研究生奖助政策资助。</w:t>
      </w:r>
    </w:p>
    <w:p w14:paraId="16BA2C62">
      <w:pPr>
        <w:adjustRightInd w:val="0"/>
        <w:snapToGrid w:val="0"/>
        <w:spacing w:before="289" w:beforeLines="50" w:line="560" w:lineRule="exact"/>
        <w:jc w:val="both"/>
        <w:rPr>
          <w:rFonts w:ascii="黑体" w:hAnsi="黑体" w:eastAsia="黑体"/>
          <w:szCs w:val="32"/>
        </w:rPr>
      </w:pPr>
      <w:r>
        <w:rPr>
          <w:rFonts w:hint="eastAsia" w:ascii="黑体" w:hAnsi="黑体" w:eastAsia="黑体"/>
          <w:szCs w:val="32"/>
          <w:lang w:val="en-US" w:eastAsia="zh-CN"/>
        </w:rPr>
        <w:t>二、</w:t>
      </w:r>
      <w:r>
        <w:rPr>
          <w:rFonts w:ascii="黑体" w:hAnsi="黑体" w:eastAsia="黑体"/>
          <w:szCs w:val="32"/>
        </w:rPr>
        <w:t>奖励标准与基本条件</w:t>
      </w:r>
    </w:p>
    <w:tbl>
      <w:tblPr>
        <w:tblStyle w:val="4"/>
        <w:tblW w:w="958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073"/>
        <w:gridCol w:w="1177"/>
        <w:gridCol w:w="2277"/>
        <w:gridCol w:w="1539"/>
        <w:gridCol w:w="2103"/>
      </w:tblGrid>
      <w:tr w14:paraId="41731BC6">
        <w:trPr>
          <w:trHeight w:val="1381" w:hRule="atLeast"/>
        </w:trPr>
        <w:tc>
          <w:tcPr>
            <w:tcW w:w="1418" w:type="dxa"/>
            <w:noWrap w:val="0"/>
            <w:vAlign w:val="center"/>
          </w:tcPr>
          <w:p w14:paraId="1845668A">
            <w:pPr>
              <w:spacing w:line="440" w:lineRule="exact"/>
              <w:jc w:val="center"/>
              <w:rPr>
                <w:rFonts w:ascii="黑体" w:hAnsi="黑体" w:eastAsia="黑体"/>
                <w:sz w:val="28"/>
                <w:szCs w:val="28"/>
              </w:rPr>
            </w:pPr>
            <w:r>
              <w:rPr>
                <w:rFonts w:ascii="黑体" w:hAnsi="黑体" w:eastAsia="黑体"/>
                <w:sz w:val="28"/>
                <w:szCs w:val="28"/>
              </w:rPr>
              <w:t>学位类型</w:t>
            </w:r>
          </w:p>
        </w:tc>
        <w:tc>
          <w:tcPr>
            <w:tcW w:w="1073" w:type="dxa"/>
            <w:noWrap w:val="0"/>
            <w:vAlign w:val="center"/>
          </w:tcPr>
          <w:p w14:paraId="48ABAD37">
            <w:pPr>
              <w:spacing w:line="440" w:lineRule="exact"/>
              <w:jc w:val="center"/>
              <w:rPr>
                <w:rFonts w:ascii="黑体" w:hAnsi="黑体" w:eastAsia="黑体"/>
                <w:sz w:val="28"/>
                <w:szCs w:val="28"/>
              </w:rPr>
            </w:pPr>
            <w:r>
              <w:rPr>
                <w:rFonts w:ascii="黑体" w:hAnsi="黑体" w:eastAsia="黑体"/>
                <w:sz w:val="28"/>
                <w:szCs w:val="28"/>
              </w:rPr>
              <w:t>年级</w:t>
            </w:r>
          </w:p>
        </w:tc>
        <w:tc>
          <w:tcPr>
            <w:tcW w:w="1177" w:type="dxa"/>
            <w:noWrap w:val="0"/>
            <w:vAlign w:val="center"/>
          </w:tcPr>
          <w:p w14:paraId="07FE1E84">
            <w:pPr>
              <w:spacing w:line="440" w:lineRule="exact"/>
              <w:jc w:val="center"/>
              <w:rPr>
                <w:rFonts w:ascii="黑体" w:hAnsi="黑体" w:eastAsia="黑体"/>
                <w:sz w:val="28"/>
                <w:szCs w:val="28"/>
              </w:rPr>
            </w:pPr>
            <w:r>
              <w:rPr>
                <w:rFonts w:ascii="黑体" w:hAnsi="黑体" w:eastAsia="黑体"/>
                <w:sz w:val="28"/>
                <w:szCs w:val="28"/>
              </w:rPr>
              <w:t>奖学金等级</w:t>
            </w:r>
          </w:p>
        </w:tc>
        <w:tc>
          <w:tcPr>
            <w:tcW w:w="2277" w:type="dxa"/>
            <w:noWrap w:val="0"/>
            <w:vAlign w:val="center"/>
          </w:tcPr>
          <w:p w14:paraId="3904CC9E">
            <w:pPr>
              <w:spacing w:line="440" w:lineRule="exact"/>
              <w:jc w:val="center"/>
              <w:rPr>
                <w:rFonts w:ascii="黑体" w:hAnsi="黑体" w:eastAsia="黑体"/>
                <w:sz w:val="28"/>
                <w:szCs w:val="28"/>
              </w:rPr>
            </w:pPr>
            <w:r>
              <w:rPr>
                <w:rFonts w:ascii="黑体" w:hAnsi="黑体" w:eastAsia="黑体"/>
                <w:sz w:val="28"/>
                <w:szCs w:val="28"/>
              </w:rPr>
              <w:t>奖励标准</w:t>
            </w:r>
          </w:p>
          <w:p w14:paraId="72FCF89C">
            <w:pPr>
              <w:spacing w:line="440" w:lineRule="exact"/>
              <w:jc w:val="center"/>
              <w:rPr>
                <w:rFonts w:ascii="黑体" w:hAnsi="黑体" w:eastAsia="黑体"/>
                <w:sz w:val="28"/>
                <w:szCs w:val="28"/>
              </w:rPr>
            </w:pPr>
            <w:r>
              <w:rPr>
                <w:rFonts w:ascii="黑体" w:hAnsi="黑体" w:eastAsia="黑体"/>
                <w:sz w:val="28"/>
                <w:szCs w:val="28"/>
              </w:rPr>
              <w:t>（万元/年·生）</w:t>
            </w:r>
          </w:p>
        </w:tc>
        <w:tc>
          <w:tcPr>
            <w:tcW w:w="1539" w:type="dxa"/>
            <w:noWrap w:val="0"/>
            <w:vAlign w:val="center"/>
          </w:tcPr>
          <w:p w14:paraId="0648008D">
            <w:pPr>
              <w:spacing w:line="440" w:lineRule="exact"/>
              <w:jc w:val="center"/>
              <w:rPr>
                <w:rFonts w:ascii="黑体" w:hAnsi="黑体" w:eastAsia="黑体"/>
                <w:sz w:val="28"/>
                <w:szCs w:val="28"/>
              </w:rPr>
            </w:pPr>
            <w:r>
              <w:rPr>
                <w:rFonts w:ascii="黑体" w:hAnsi="黑体" w:eastAsia="黑体"/>
                <w:sz w:val="28"/>
                <w:szCs w:val="28"/>
              </w:rPr>
              <w:t>奖励比例</w:t>
            </w:r>
          </w:p>
        </w:tc>
        <w:tc>
          <w:tcPr>
            <w:tcW w:w="2103" w:type="dxa"/>
            <w:noWrap w:val="0"/>
            <w:vAlign w:val="center"/>
          </w:tcPr>
          <w:p w14:paraId="5E4CB3AB">
            <w:pPr>
              <w:spacing w:line="440" w:lineRule="exact"/>
              <w:jc w:val="center"/>
              <w:rPr>
                <w:rFonts w:ascii="黑体" w:hAnsi="黑体" w:eastAsia="黑体"/>
                <w:sz w:val="28"/>
                <w:szCs w:val="28"/>
              </w:rPr>
            </w:pPr>
            <w:r>
              <w:rPr>
                <w:rFonts w:ascii="黑体" w:hAnsi="黑体" w:eastAsia="黑体"/>
                <w:sz w:val="28"/>
                <w:szCs w:val="28"/>
              </w:rPr>
              <w:t>备注</w:t>
            </w:r>
          </w:p>
        </w:tc>
      </w:tr>
      <w:tr w14:paraId="51270AEF">
        <w:trPr>
          <w:trHeight w:val="1118" w:hRule="atLeast"/>
        </w:trPr>
        <w:tc>
          <w:tcPr>
            <w:tcW w:w="1418" w:type="dxa"/>
            <w:vMerge w:val="restart"/>
            <w:noWrap w:val="0"/>
            <w:vAlign w:val="center"/>
          </w:tcPr>
          <w:p w14:paraId="27C54537">
            <w:pPr>
              <w:spacing w:line="440" w:lineRule="exact"/>
              <w:jc w:val="center"/>
              <w:rPr>
                <w:sz w:val="28"/>
                <w:szCs w:val="28"/>
              </w:rPr>
            </w:pPr>
            <w:r>
              <w:rPr>
                <w:sz w:val="28"/>
                <w:szCs w:val="28"/>
              </w:rPr>
              <w:t>博士</w:t>
            </w:r>
          </w:p>
        </w:tc>
        <w:tc>
          <w:tcPr>
            <w:tcW w:w="1073" w:type="dxa"/>
            <w:vMerge w:val="restart"/>
            <w:noWrap w:val="0"/>
            <w:vAlign w:val="center"/>
          </w:tcPr>
          <w:p w14:paraId="09757592">
            <w:pPr>
              <w:spacing w:line="440" w:lineRule="exact"/>
              <w:jc w:val="center"/>
              <w:rPr>
                <w:sz w:val="28"/>
                <w:szCs w:val="28"/>
              </w:rPr>
            </w:pPr>
            <w:r>
              <w:rPr>
                <w:sz w:val="28"/>
                <w:szCs w:val="28"/>
              </w:rPr>
              <w:t>一年级</w:t>
            </w:r>
          </w:p>
        </w:tc>
        <w:tc>
          <w:tcPr>
            <w:tcW w:w="1177" w:type="dxa"/>
            <w:noWrap w:val="0"/>
            <w:vAlign w:val="center"/>
          </w:tcPr>
          <w:p w14:paraId="551C48E5">
            <w:pPr>
              <w:spacing w:line="440" w:lineRule="exact"/>
              <w:jc w:val="center"/>
              <w:rPr>
                <w:sz w:val="28"/>
                <w:szCs w:val="28"/>
              </w:rPr>
            </w:pPr>
            <w:r>
              <w:rPr>
                <w:sz w:val="28"/>
                <w:szCs w:val="28"/>
              </w:rPr>
              <w:t>一等奖</w:t>
            </w:r>
          </w:p>
        </w:tc>
        <w:tc>
          <w:tcPr>
            <w:tcW w:w="2277" w:type="dxa"/>
            <w:noWrap w:val="0"/>
            <w:vAlign w:val="center"/>
          </w:tcPr>
          <w:p w14:paraId="5686934B">
            <w:pPr>
              <w:spacing w:line="440" w:lineRule="exact"/>
              <w:jc w:val="center"/>
              <w:rPr>
                <w:sz w:val="28"/>
                <w:szCs w:val="28"/>
              </w:rPr>
            </w:pPr>
            <w:r>
              <w:rPr>
                <w:sz w:val="28"/>
                <w:szCs w:val="28"/>
              </w:rPr>
              <w:t>1.5</w:t>
            </w:r>
          </w:p>
        </w:tc>
        <w:tc>
          <w:tcPr>
            <w:tcW w:w="1539" w:type="dxa"/>
            <w:noWrap w:val="0"/>
            <w:vAlign w:val="center"/>
          </w:tcPr>
          <w:p w14:paraId="647FB9F1">
            <w:pPr>
              <w:spacing w:line="440" w:lineRule="exact"/>
              <w:jc w:val="center"/>
              <w:rPr>
                <w:sz w:val="28"/>
                <w:szCs w:val="28"/>
              </w:rPr>
            </w:pPr>
            <w:r>
              <w:rPr>
                <w:sz w:val="28"/>
                <w:szCs w:val="28"/>
              </w:rPr>
              <w:t>X%</w:t>
            </w:r>
          </w:p>
        </w:tc>
        <w:tc>
          <w:tcPr>
            <w:tcW w:w="2103" w:type="dxa"/>
            <w:noWrap w:val="0"/>
            <w:vAlign w:val="center"/>
          </w:tcPr>
          <w:p w14:paraId="1904A7C4">
            <w:pPr>
              <w:spacing w:line="440" w:lineRule="exact"/>
              <w:jc w:val="center"/>
              <w:rPr>
                <w:sz w:val="28"/>
                <w:szCs w:val="28"/>
              </w:rPr>
            </w:pPr>
            <w:r>
              <w:rPr>
                <w:rFonts w:hint="eastAsia"/>
                <w:sz w:val="28"/>
                <w:szCs w:val="28"/>
              </w:rPr>
              <w:t>适用于</w:t>
            </w:r>
            <w:r>
              <w:rPr>
                <w:sz w:val="28"/>
                <w:szCs w:val="28"/>
              </w:rPr>
              <w:t>硕博连读生、直博生</w:t>
            </w:r>
          </w:p>
        </w:tc>
      </w:tr>
      <w:tr w14:paraId="4C761715">
        <w:trPr>
          <w:trHeight w:val="804" w:hRule="atLeast"/>
        </w:trPr>
        <w:tc>
          <w:tcPr>
            <w:tcW w:w="1418" w:type="dxa"/>
            <w:vMerge w:val="continue"/>
            <w:noWrap w:val="0"/>
            <w:vAlign w:val="center"/>
          </w:tcPr>
          <w:p w14:paraId="7B1E9D43">
            <w:pPr>
              <w:spacing w:line="440" w:lineRule="exact"/>
              <w:jc w:val="center"/>
              <w:rPr>
                <w:sz w:val="28"/>
                <w:szCs w:val="28"/>
              </w:rPr>
            </w:pPr>
          </w:p>
        </w:tc>
        <w:tc>
          <w:tcPr>
            <w:tcW w:w="1073" w:type="dxa"/>
            <w:vMerge w:val="continue"/>
            <w:noWrap w:val="0"/>
            <w:vAlign w:val="center"/>
          </w:tcPr>
          <w:p w14:paraId="2DA9EC86">
            <w:pPr>
              <w:spacing w:line="440" w:lineRule="exact"/>
              <w:jc w:val="center"/>
              <w:rPr>
                <w:sz w:val="28"/>
                <w:szCs w:val="28"/>
              </w:rPr>
            </w:pPr>
          </w:p>
        </w:tc>
        <w:tc>
          <w:tcPr>
            <w:tcW w:w="1177" w:type="dxa"/>
            <w:noWrap w:val="0"/>
            <w:vAlign w:val="center"/>
          </w:tcPr>
          <w:p w14:paraId="0B5FD1D4">
            <w:pPr>
              <w:spacing w:line="440" w:lineRule="exact"/>
              <w:jc w:val="center"/>
              <w:rPr>
                <w:sz w:val="28"/>
                <w:szCs w:val="28"/>
              </w:rPr>
            </w:pPr>
            <w:r>
              <w:rPr>
                <w:sz w:val="28"/>
                <w:szCs w:val="28"/>
              </w:rPr>
              <w:t>二等奖</w:t>
            </w:r>
          </w:p>
        </w:tc>
        <w:tc>
          <w:tcPr>
            <w:tcW w:w="2277" w:type="dxa"/>
            <w:noWrap w:val="0"/>
            <w:vAlign w:val="center"/>
          </w:tcPr>
          <w:p w14:paraId="263A72D0">
            <w:pPr>
              <w:spacing w:line="440" w:lineRule="exact"/>
              <w:jc w:val="center"/>
              <w:rPr>
                <w:sz w:val="28"/>
                <w:szCs w:val="28"/>
              </w:rPr>
            </w:pPr>
            <w:r>
              <w:rPr>
                <w:sz w:val="28"/>
                <w:szCs w:val="28"/>
              </w:rPr>
              <w:t>1.0</w:t>
            </w:r>
          </w:p>
        </w:tc>
        <w:tc>
          <w:tcPr>
            <w:tcW w:w="1539" w:type="dxa"/>
            <w:noWrap w:val="0"/>
            <w:vAlign w:val="center"/>
          </w:tcPr>
          <w:p w14:paraId="3FE56DD7">
            <w:pPr>
              <w:spacing w:line="440" w:lineRule="exact"/>
              <w:jc w:val="center"/>
              <w:rPr>
                <w:sz w:val="28"/>
                <w:szCs w:val="28"/>
              </w:rPr>
            </w:pPr>
            <w:r>
              <w:rPr>
                <w:sz w:val="28"/>
                <w:szCs w:val="28"/>
              </w:rPr>
              <w:t>(100-X)%</w:t>
            </w:r>
          </w:p>
        </w:tc>
        <w:tc>
          <w:tcPr>
            <w:tcW w:w="2103" w:type="dxa"/>
            <w:noWrap w:val="0"/>
            <w:vAlign w:val="center"/>
          </w:tcPr>
          <w:p w14:paraId="07D3A53E">
            <w:pPr>
              <w:spacing w:line="440" w:lineRule="exact"/>
              <w:jc w:val="center"/>
              <w:rPr>
                <w:sz w:val="28"/>
                <w:szCs w:val="28"/>
              </w:rPr>
            </w:pPr>
            <w:r>
              <w:rPr>
                <w:rFonts w:hint="eastAsia"/>
                <w:sz w:val="28"/>
                <w:szCs w:val="28"/>
              </w:rPr>
              <w:t>适用于</w:t>
            </w:r>
            <w:r>
              <w:rPr>
                <w:sz w:val="28"/>
                <w:szCs w:val="28"/>
              </w:rPr>
              <w:t>申请</w:t>
            </w:r>
            <w:r>
              <w:rPr>
                <w:rFonts w:hint="eastAsia"/>
                <w:szCs w:val="32"/>
              </w:rPr>
              <w:t>-</w:t>
            </w:r>
            <w:r>
              <w:rPr>
                <w:sz w:val="28"/>
                <w:szCs w:val="28"/>
              </w:rPr>
              <w:t>考核生</w:t>
            </w:r>
          </w:p>
        </w:tc>
      </w:tr>
      <w:tr w14:paraId="310E7ED5">
        <w:trPr>
          <w:trHeight w:val="567" w:hRule="atLeast"/>
        </w:trPr>
        <w:tc>
          <w:tcPr>
            <w:tcW w:w="1418" w:type="dxa"/>
            <w:vMerge w:val="continue"/>
            <w:noWrap w:val="0"/>
            <w:vAlign w:val="center"/>
          </w:tcPr>
          <w:p w14:paraId="717A74B5">
            <w:pPr>
              <w:spacing w:line="440" w:lineRule="exact"/>
              <w:jc w:val="center"/>
              <w:rPr>
                <w:sz w:val="28"/>
                <w:szCs w:val="28"/>
              </w:rPr>
            </w:pPr>
          </w:p>
        </w:tc>
        <w:tc>
          <w:tcPr>
            <w:tcW w:w="1073" w:type="dxa"/>
            <w:vMerge w:val="restart"/>
            <w:noWrap w:val="0"/>
            <w:vAlign w:val="center"/>
          </w:tcPr>
          <w:p w14:paraId="6A4382B7">
            <w:pPr>
              <w:spacing w:line="440" w:lineRule="exact"/>
              <w:jc w:val="center"/>
              <w:rPr>
                <w:sz w:val="28"/>
                <w:szCs w:val="28"/>
              </w:rPr>
            </w:pPr>
            <w:r>
              <w:rPr>
                <w:sz w:val="28"/>
                <w:szCs w:val="28"/>
              </w:rPr>
              <w:t>二、三</w:t>
            </w:r>
          </w:p>
          <w:p w14:paraId="36AEC6F6">
            <w:pPr>
              <w:spacing w:line="440" w:lineRule="exact"/>
              <w:jc w:val="center"/>
              <w:rPr>
                <w:sz w:val="28"/>
                <w:szCs w:val="28"/>
              </w:rPr>
            </w:pPr>
            <w:r>
              <w:rPr>
                <w:sz w:val="28"/>
                <w:szCs w:val="28"/>
              </w:rPr>
              <w:t>年级</w:t>
            </w:r>
          </w:p>
        </w:tc>
        <w:tc>
          <w:tcPr>
            <w:tcW w:w="1177" w:type="dxa"/>
            <w:noWrap w:val="0"/>
            <w:vAlign w:val="center"/>
          </w:tcPr>
          <w:p w14:paraId="31ADF204">
            <w:pPr>
              <w:spacing w:line="440" w:lineRule="exact"/>
              <w:jc w:val="center"/>
              <w:rPr>
                <w:sz w:val="28"/>
                <w:szCs w:val="28"/>
              </w:rPr>
            </w:pPr>
            <w:r>
              <w:rPr>
                <w:sz w:val="28"/>
                <w:szCs w:val="28"/>
              </w:rPr>
              <w:t>一等奖</w:t>
            </w:r>
          </w:p>
        </w:tc>
        <w:tc>
          <w:tcPr>
            <w:tcW w:w="2277" w:type="dxa"/>
            <w:noWrap w:val="0"/>
            <w:vAlign w:val="center"/>
          </w:tcPr>
          <w:p w14:paraId="4468BA49">
            <w:pPr>
              <w:spacing w:line="440" w:lineRule="exact"/>
              <w:jc w:val="center"/>
              <w:rPr>
                <w:sz w:val="28"/>
                <w:szCs w:val="28"/>
              </w:rPr>
            </w:pPr>
            <w:r>
              <w:rPr>
                <w:sz w:val="28"/>
                <w:szCs w:val="28"/>
              </w:rPr>
              <w:t>1.8</w:t>
            </w:r>
          </w:p>
        </w:tc>
        <w:tc>
          <w:tcPr>
            <w:tcW w:w="1539" w:type="dxa"/>
            <w:noWrap w:val="0"/>
            <w:vAlign w:val="center"/>
          </w:tcPr>
          <w:p w14:paraId="66958143">
            <w:pPr>
              <w:spacing w:line="440" w:lineRule="exact"/>
              <w:jc w:val="center"/>
              <w:rPr>
                <w:sz w:val="28"/>
                <w:szCs w:val="28"/>
              </w:rPr>
            </w:pPr>
            <w:r>
              <w:rPr>
                <w:sz w:val="28"/>
                <w:szCs w:val="28"/>
              </w:rPr>
              <w:t>X%</w:t>
            </w:r>
          </w:p>
        </w:tc>
        <w:tc>
          <w:tcPr>
            <w:tcW w:w="2103" w:type="dxa"/>
            <w:noWrap w:val="0"/>
            <w:vAlign w:val="center"/>
          </w:tcPr>
          <w:p w14:paraId="0D831769">
            <w:pPr>
              <w:spacing w:line="440" w:lineRule="exact"/>
              <w:jc w:val="center"/>
              <w:rPr>
                <w:sz w:val="28"/>
                <w:szCs w:val="28"/>
              </w:rPr>
            </w:pPr>
            <w:r>
              <w:rPr>
                <w:rFonts w:hint="eastAsia"/>
                <w:sz w:val="28"/>
                <w:szCs w:val="28"/>
              </w:rPr>
              <w:t>奖励比例</w:t>
            </w:r>
            <w:r>
              <w:rPr>
                <w:sz w:val="28"/>
                <w:szCs w:val="28"/>
              </w:rPr>
              <w:t>不超过20%</w:t>
            </w:r>
          </w:p>
        </w:tc>
      </w:tr>
      <w:tr w14:paraId="269A7BD8">
        <w:trPr>
          <w:trHeight w:val="567" w:hRule="atLeast"/>
        </w:trPr>
        <w:tc>
          <w:tcPr>
            <w:tcW w:w="1418" w:type="dxa"/>
            <w:vMerge w:val="continue"/>
            <w:noWrap w:val="0"/>
            <w:vAlign w:val="center"/>
          </w:tcPr>
          <w:p w14:paraId="2AB235B5">
            <w:pPr>
              <w:spacing w:line="440" w:lineRule="exact"/>
              <w:rPr>
                <w:sz w:val="28"/>
                <w:szCs w:val="28"/>
              </w:rPr>
            </w:pPr>
          </w:p>
        </w:tc>
        <w:tc>
          <w:tcPr>
            <w:tcW w:w="1073" w:type="dxa"/>
            <w:vMerge w:val="continue"/>
            <w:noWrap w:val="0"/>
            <w:vAlign w:val="center"/>
          </w:tcPr>
          <w:p w14:paraId="16272618">
            <w:pPr>
              <w:spacing w:line="440" w:lineRule="exact"/>
              <w:rPr>
                <w:sz w:val="28"/>
                <w:szCs w:val="28"/>
              </w:rPr>
            </w:pPr>
          </w:p>
        </w:tc>
        <w:tc>
          <w:tcPr>
            <w:tcW w:w="1177" w:type="dxa"/>
            <w:noWrap w:val="0"/>
            <w:vAlign w:val="center"/>
          </w:tcPr>
          <w:p w14:paraId="0A13D666">
            <w:pPr>
              <w:spacing w:line="440" w:lineRule="exact"/>
              <w:jc w:val="center"/>
              <w:rPr>
                <w:sz w:val="28"/>
                <w:szCs w:val="28"/>
              </w:rPr>
            </w:pPr>
            <w:r>
              <w:rPr>
                <w:sz w:val="28"/>
                <w:szCs w:val="28"/>
              </w:rPr>
              <w:t>二等奖</w:t>
            </w:r>
          </w:p>
        </w:tc>
        <w:tc>
          <w:tcPr>
            <w:tcW w:w="2277" w:type="dxa"/>
            <w:noWrap w:val="0"/>
            <w:vAlign w:val="center"/>
          </w:tcPr>
          <w:p w14:paraId="0D78D832">
            <w:pPr>
              <w:spacing w:line="440" w:lineRule="exact"/>
              <w:jc w:val="center"/>
              <w:rPr>
                <w:sz w:val="28"/>
                <w:szCs w:val="28"/>
              </w:rPr>
            </w:pPr>
            <w:r>
              <w:rPr>
                <w:sz w:val="28"/>
                <w:szCs w:val="28"/>
              </w:rPr>
              <w:t>1.5</w:t>
            </w:r>
          </w:p>
        </w:tc>
        <w:tc>
          <w:tcPr>
            <w:tcW w:w="1539" w:type="dxa"/>
            <w:noWrap w:val="0"/>
            <w:vAlign w:val="center"/>
          </w:tcPr>
          <w:p w14:paraId="7C125246">
            <w:pPr>
              <w:spacing w:line="440" w:lineRule="exact"/>
              <w:jc w:val="center"/>
              <w:rPr>
                <w:sz w:val="28"/>
                <w:szCs w:val="28"/>
              </w:rPr>
            </w:pPr>
            <w:r>
              <w:rPr>
                <w:sz w:val="28"/>
                <w:szCs w:val="28"/>
              </w:rPr>
              <w:t>30%</w:t>
            </w:r>
          </w:p>
        </w:tc>
        <w:tc>
          <w:tcPr>
            <w:tcW w:w="2103" w:type="dxa"/>
            <w:noWrap w:val="0"/>
            <w:vAlign w:val="center"/>
          </w:tcPr>
          <w:p w14:paraId="2CE565BC">
            <w:pPr>
              <w:spacing w:line="440" w:lineRule="exact"/>
              <w:rPr>
                <w:sz w:val="28"/>
                <w:szCs w:val="28"/>
              </w:rPr>
            </w:pPr>
          </w:p>
        </w:tc>
      </w:tr>
      <w:tr w14:paraId="1D3A76CA">
        <w:trPr>
          <w:trHeight w:val="567" w:hRule="atLeast"/>
        </w:trPr>
        <w:tc>
          <w:tcPr>
            <w:tcW w:w="1418" w:type="dxa"/>
            <w:vMerge w:val="continue"/>
            <w:noWrap w:val="0"/>
            <w:vAlign w:val="center"/>
          </w:tcPr>
          <w:p w14:paraId="142D5CD8">
            <w:pPr>
              <w:spacing w:line="440" w:lineRule="exact"/>
              <w:rPr>
                <w:sz w:val="28"/>
                <w:szCs w:val="28"/>
              </w:rPr>
            </w:pPr>
          </w:p>
        </w:tc>
        <w:tc>
          <w:tcPr>
            <w:tcW w:w="1073" w:type="dxa"/>
            <w:vMerge w:val="continue"/>
            <w:noWrap w:val="0"/>
            <w:vAlign w:val="center"/>
          </w:tcPr>
          <w:p w14:paraId="5F63DADA">
            <w:pPr>
              <w:spacing w:line="440" w:lineRule="exact"/>
              <w:rPr>
                <w:sz w:val="28"/>
                <w:szCs w:val="28"/>
              </w:rPr>
            </w:pPr>
          </w:p>
        </w:tc>
        <w:tc>
          <w:tcPr>
            <w:tcW w:w="1177" w:type="dxa"/>
            <w:noWrap w:val="0"/>
            <w:vAlign w:val="center"/>
          </w:tcPr>
          <w:p w14:paraId="14C61595">
            <w:pPr>
              <w:spacing w:line="440" w:lineRule="exact"/>
              <w:jc w:val="center"/>
              <w:rPr>
                <w:sz w:val="28"/>
                <w:szCs w:val="28"/>
              </w:rPr>
            </w:pPr>
            <w:r>
              <w:rPr>
                <w:sz w:val="28"/>
                <w:szCs w:val="28"/>
              </w:rPr>
              <w:t>三等奖</w:t>
            </w:r>
          </w:p>
        </w:tc>
        <w:tc>
          <w:tcPr>
            <w:tcW w:w="2277" w:type="dxa"/>
            <w:noWrap w:val="0"/>
            <w:vAlign w:val="center"/>
          </w:tcPr>
          <w:p w14:paraId="183FC578">
            <w:pPr>
              <w:spacing w:line="440" w:lineRule="exact"/>
              <w:jc w:val="center"/>
              <w:rPr>
                <w:sz w:val="28"/>
                <w:szCs w:val="28"/>
              </w:rPr>
            </w:pPr>
            <w:r>
              <w:rPr>
                <w:sz w:val="28"/>
                <w:szCs w:val="28"/>
              </w:rPr>
              <w:t>1.0</w:t>
            </w:r>
          </w:p>
        </w:tc>
        <w:tc>
          <w:tcPr>
            <w:tcW w:w="1539" w:type="dxa"/>
            <w:noWrap w:val="0"/>
            <w:vAlign w:val="center"/>
          </w:tcPr>
          <w:p w14:paraId="6322AEA4">
            <w:pPr>
              <w:spacing w:line="440" w:lineRule="exact"/>
              <w:jc w:val="center"/>
              <w:rPr>
                <w:sz w:val="28"/>
                <w:szCs w:val="28"/>
              </w:rPr>
            </w:pPr>
            <w:r>
              <w:rPr>
                <w:sz w:val="28"/>
                <w:szCs w:val="28"/>
              </w:rPr>
              <w:t>(100-X -30)%</w:t>
            </w:r>
          </w:p>
        </w:tc>
        <w:tc>
          <w:tcPr>
            <w:tcW w:w="2103" w:type="dxa"/>
            <w:noWrap w:val="0"/>
            <w:vAlign w:val="center"/>
          </w:tcPr>
          <w:p w14:paraId="39286C83">
            <w:pPr>
              <w:spacing w:line="440" w:lineRule="exact"/>
              <w:rPr>
                <w:sz w:val="28"/>
                <w:szCs w:val="28"/>
              </w:rPr>
            </w:pPr>
          </w:p>
        </w:tc>
      </w:tr>
      <w:tr w14:paraId="19CC1B04">
        <w:trPr>
          <w:trHeight w:val="567" w:hRule="atLeast"/>
        </w:trPr>
        <w:tc>
          <w:tcPr>
            <w:tcW w:w="1418" w:type="dxa"/>
            <w:vMerge w:val="restart"/>
            <w:noWrap w:val="0"/>
            <w:vAlign w:val="center"/>
          </w:tcPr>
          <w:p w14:paraId="3633D2B3">
            <w:pPr>
              <w:spacing w:line="440" w:lineRule="exact"/>
              <w:jc w:val="center"/>
              <w:rPr>
                <w:sz w:val="28"/>
                <w:szCs w:val="28"/>
              </w:rPr>
            </w:pPr>
            <w:r>
              <w:rPr>
                <w:sz w:val="28"/>
                <w:szCs w:val="28"/>
              </w:rPr>
              <w:t>硕士</w:t>
            </w:r>
          </w:p>
        </w:tc>
        <w:tc>
          <w:tcPr>
            <w:tcW w:w="1073" w:type="dxa"/>
            <w:vMerge w:val="restart"/>
            <w:noWrap w:val="0"/>
            <w:vAlign w:val="center"/>
          </w:tcPr>
          <w:p w14:paraId="2F255BB6">
            <w:pPr>
              <w:spacing w:line="440" w:lineRule="exact"/>
              <w:jc w:val="center"/>
              <w:rPr>
                <w:sz w:val="28"/>
                <w:szCs w:val="28"/>
              </w:rPr>
            </w:pPr>
            <w:r>
              <w:rPr>
                <w:sz w:val="28"/>
                <w:szCs w:val="28"/>
              </w:rPr>
              <w:t>一年级</w:t>
            </w:r>
          </w:p>
        </w:tc>
        <w:tc>
          <w:tcPr>
            <w:tcW w:w="1177" w:type="dxa"/>
            <w:noWrap w:val="0"/>
            <w:vAlign w:val="center"/>
          </w:tcPr>
          <w:p w14:paraId="7217AE15">
            <w:pPr>
              <w:spacing w:line="440" w:lineRule="exact"/>
              <w:jc w:val="center"/>
              <w:rPr>
                <w:sz w:val="28"/>
                <w:szCs w:val="28"/>
              </w:rPr>
            </w:pPr>
            <w:r>
              <w:rPr>
                <w:sz w:val="28"/>
                <w:szCs w:val="28"/>
              </w:rPr>
              <w:t>一等奖</w:t>
            </w:r>
          </w:p>
        </w:tc>
        <w:tc>
          <w:tcPr>
            <w:tcW w:w="2277" w:type="dxa"/>
            <w:noWrap w:val="0"/>
            <w:vAlign w:val="center"/>
          </w:tcPr>
          <w:p w14:paraId="564D25B6">
            <w:pPr>
              <w:spacing w:line="440" w:lineRule="exact"/>
              <w:jc w:val="center"/>
              <w:rPr>
                <w:sz w:val="28"/>
                <w:szCs w:val="28"/>
              </w:rPr>
            </w:pPr>
            <w:r>
              <w:rPr>
                <w:sz w:val="28"/>
                <w:szCs w:val="28"/>
              </w:rPr>
              <w:t>1.2</w:t>
            </w:r>
          </w:p>
        </w:tc>
        <w:tc>
          <w:tcPr>
            <w:tcW w:w="1539" w:type="dxa"/>
            <w:noWrap w:val="0"/>
            <w:vAlign w:val="center"/>
          </w:tcPr>
          <w:p w14:paraId="7FAF5566">
            <w:pPr>
              <w:spacing w:line="440" w:lineRule="exact"/>
              <w:jc w:val="center"/>
              <w:rPr>
                <w:sz w:val="28"/>
                <w:szCs w:val="28"/>
              </w:rPr>
            </w:pPr>
            <w:r>
              <w:rPr>
                <w:sz w:val="28"/>
                <w:szCs w:val="28"/>
              </w:rPr>
              <w:t>X%</w:t>
            </w:r>
          </w:p>
        </w:tc>
        <w:tc>
          <w:tcPr>
            <w:tcW w:w="2103" w:type="dxa"/>
            <w:noWrap w:val="0"/>
            <w:vAlign w:val="center"/>
          </w:tcPr>
          <w:p w14:paraId="73A7EA60">
            <w:pPr>
              <w:spacing w:line="440" w:lineRule="exact"/>
              <w:rPr>
                <w:sz w:val="28"/>
                <w:szCs w:val="28"/>
              </w:rPr>
            </w:pPr>
            <w:r>
              <w:rPr>
                <w:rFonts w:hint="eastAsia"/>
                <w:sz w:val="28"/>
                <w:szCs w:val="28"/>
              </w:rPr>
              <w:t>适用于</w:t>
            </w:r>
            <w:r>
              <w:rPr>
                <w:sz w:val="28"/>
                <w:szCs w:val="28"/>
              </w:rPr>
              <w:t>推免学生、5+3学制本科阶段综合素质测评前50%</w:t>
            </w:r>
          </w:p>
        </w:tc>
      </w:tr>
      <w:tr w14:paraId="1365A6AD">
        <w:trPr>
          <w:trHeight w:val="567" w:hRule="atLeast"/>
        </w:trPr>
        <w:tc>
          <w:tcPr>
            <w:tcW w:w="1418" w:type="dxa"/>
            <w:vMerge w:val="continue"/>
            <w:noWrap w:val="0"/>
            <w:vAlign w:val="center"/>
          </w:tcPr>
          <w:p w14:paraId="5251A1AD">
            <w:pPr>
              <w:spacing w:line="440" w:lineRule="exact"/>
              <w:jc w:val="center"/>
              <w:rPr>
                <w:sz w:val="28"/>
                <w:szCs w:val="28"/>
              </w:rPr>
            </w:pPr>
          </w:p>
        </w:tc>
        <w:tc>
          <w:tcPr>
            <w:tcW w:w="1073" w:type="dxa"/>
            <w:vMerge w:val="continue"/>
            <w:noWrap w:val="0"/>
            <w:vAlign w:val="center"/>
          </w:tcPr>
          <w:p w14:paraId="23F526E5">
            <w:pPr>
              <w:spacing w:line="440" w:lineRule="exact"/>
              <w:jc w:val="center"/>
              <w:rPr>
                <w:sz w:val="28"/>
                <w:szCs w:val="28"/>
              </w:rPr>
            </w:pPr>
          </w:p>
        </w:tc>
        <w:tc>
          <w:tcPr>
            <w:tcW w:w="1177" w:type="dxa"/>
            <w:noWrap w:val="0"/>
            <w:vAlign w:val="center"/>
          </w:tcPr>
          <w:p w14:paraId="3A95EFE7">
            <w:pPr>
              <w:spacing w:line="440" w:lineRule="exact"/>
              <w:jc w:val="center"/>
              <w:rPr>
                <w:sz w:val="28"/>
                <w:szCs w:val="28"/>
              </w:rPr>
            </w:pPr>
            <w:r>
              <w:rPr>
                <w:sz w:val="28"/>
                <w:szCs w:val="28"/>
              </w:rPr>
              <w:t>二等奖</w:t>
            </w:r>
          </w:p>
        </w:tc>
        <w:tc>
          <w:tcPr>
            <w:tcW w:w="2277" w:type="dxa"/>
            <w:noWrap w:val="0"/>
            <w:vAlign w:val="center"/>
          </w:tcPr>
          <w:p w14:paraId="56EB0297">
            <w:pPr>
              <w:spacing w:line="440" w:lineRule="exact"/>
              <w:jc w:val="center"/>
              <w:rPr>
                <w:sz w:val="28"/>
                <w:szCs w:val="28"/>
              </w:rPr>
            </w:pPr>
            <w:r>
              <w:rPr>
                <w:sz w:val="28"/>
                <w:szCs w:val="28"/>
              </w:rPr>
              <w:t>0.8</w:t>
            </w:r>
          </w:p>
        </w:tc>
        <w:tc>
          <w:tcPr>
            <w:tcW w:w="1539" w:type="dxa"/>
            <w:noWrap w:val="0"/>
            <w:vAlign w:val="center"/>
          </w:tcPr>
          <w:p w14:paraId="334F1B11">
            <w:pPr>
              <w:spacing w:line="440" w:lineRule="exact"/>
              <w:jc w:val="center"/>
              <w:rPr>
                <w:sz w:val="28"/>
                <w:szCs w:val="28"/>
              </w:rPr>
            </w:pPr>
            <w:r>
              <w:rPr>
                <w:sz w:val="28"/>
                <w:szCs w:val="28"/>
              </w:rPr>
              <w:t>(100-X)%</w:t>
            </w:r>
          </w:p>
        </w:tc>
        <w:tc>
          <w:tcPr>
            <w:tcW w:w="2103" w:type="dxa"/>
            <w:noWrap w:val="0"/>
            <w:vAlign w:val="center"/>
          </w:tcPr>
          <w:p w14:paraId="514C52D3">
            <w:pPr>
              <w:spacing w:line="440" w:lineRule="exact"/>
              <w:rPr>
                <w:sz w:val="28"/>
                <w:szCs w:val="28"/>
              </w:rPr>
            </w:pPr>
            <w:r>
              <w:rPr>
                <w:rFonts w:hint="eastAsia"/>
                <w:sz w:val="28"/>
                <w:szCs w:val="28"/>
              </w:rPr>
              <w:t>适用于</w:t>
            </w:r>
            <w:r>
              <w:rPr>
                <w:sz w:val="28"/>
                <w:szCs w:val="28"/>
              </w:rPr>
              <w:t>统考学生、5+3学制其他学生</w:t>
            </w:r>
          </w:p>
        </w:tc>
      </w:tr>
      <w:tr w14:paraId="4A8DCC8D">
        <w:trPr>
          <w:trHeight w:val="567" w:hRule="atLeast"/>
        </w:trPr>
        <w:tc>
          <w:tcPr>
            <w:tcW w:w="1418" w:type="dxa"/>
            <w:vMerge w:val="continue"/>
            <w:noWrap w:val="0"/>
            <w:vAlign w:val="center"/>
          </w:tcPr>
          <w:p w14:paraId="46B1089D">
            <w:pPr>
              <w:spacing w:line="440" w:lineRule="exact"/>
              <w:jc w:val="center"/>
              <w:rPr>
                <w:sz w:val="28"/>
                <w:szCs w:val="28"/>
              </w:rPr>
            </w:pPr>
          </w:p>
        </w:tc>
        <w:tc>
          <w:tcPr>
            <w:tcW w:w="1073" w:type="dxa"/>
            <w:vMerge w:val="restart"/>
            <w:noWrap w:val="0"/>
            <w:vAlign w:val="center"/>
          </w:tcPr>
          <w:p w14:paraId="25BF64D8">
            <w:pPr>
              <w:spacing w:line="440" w:lineRule="exact"/>
              <w:jc w:val="center"/>
              <w:rPr>
                <w:sz w:val="28"/>
                <w:szCs w:val="28"/>
              </w:rPr>
            </w:pPr>
            <w:r>
              <w:rPr>
                <w:sz w:val="28"/>
                <w:szCs w:val="28"/>
              </w:rPr>
              <w:t>二、三</w:t>
            </w:r>
          </w:p>
          <w:p w14:paraId="4980BB61">
            <w:pPr>
              <w:spacing w:line="440" w:lineRule="exact"/>
              <w:jc w:val="center"/>
              <w:rPr>
                <w:sz w:val="28"/>
                <w:szCs w:val="28"/>
              </w:rPr>
            </w:pPr>
            <w:r>
              <w:rPr>
                <w:sz w:val="28"/>
                <w:szCs w:val="28"/>
              </w:rPr>
              <w:t>年级</w:t>
            </w:r>
          </w:p>
        </w:tc>
        <w:tc>
          <w:tcPr>
            <w:tcW w:w="1177" w:type="dxa"/>
            <w:noWrap w:val="0"/>
            <w:vAlign w:val="center"/>
          </w:tcPr>
          <w:p w14:paraId="64A378D8">
            <w:pPr>
              <w:spacing w:line="440" w:lineRule="exact"/>
              <w:jc w:val="center"/>
              <w:rPr>
                <w:sz w:val="28"/>
                <w:szCs w:val="28"/>
              </w:rPr>
            </w:pPr>
            <w:r>
              <w:rPr>
                <w:sz w:val="28"/>
                <w:szCs w:val="28"/>
              </w:rPr>
              <w:t>一等奖</w:t>
            </w:r>
          </w:p>
        </w:tc>
        <w:tc>
          <w:tcPr>
            <w:tcW w:w="2277" w:type="dxa"/>
            <w:noWrap w:val="0"/>
            <w:vAlign w:val="center"/>
          </w:tcPr>
          <w:p w14:paraId="08B9314A">
            <w:pPr>
              <w:spacing w:line="440" w:lineRule="exact"/>
              <w:jc w:val="center"/>
              <w:rPr>
                <w:sz w:val="28"/>
                <w:szCs w:val="28"/>
              </w:rPr>
            </w:pPr>
            <w:r>
              <w:rPr>
                <w:sz w:val="28"/>
                <w:szCs w:val="28"/>
              </w:rPr>
              <w:t>1.2</w:t>
            </w:r>
          </w:p>
        </w:tc>
        <w:tc>
          <w:tcPr>
            <w:tcW w:w="1539" w:type="dxa"/>
            <w:noWrap w:val="0"/>
            <w:vAlign w:val="center"/>
          </w:tcPr>
          <w:p w14:paraId="6C8A66B2">
            <w:pPr>
              <w:spacing w:line="440" w:lineRule="exact"/>
              <w:jc w:val="center"/>
              <w:rPr>
                <w:sz w:val="28"/>
                <w:szCs w:val="28"/>
              </w:rPr>
            </w:pPr>
            <w:r>
              <w:rPr>
                <w:sz w:val="28"/>
                <w:szCs w:val="28"/>
              </w:rPr>
              <w:t>10%</w:t>
            </w:r>
          </w:p>
        </w:tc>
        <w:tc>
          <w:tcPr>
            <w:tcW w:w="2103" w:type="dxa"/>
            <w:noWrap w:val="0"/>
            <w:vAlign w:val="center"/>
          </w:tcPr>
          <w:p w14:paraId="3FB0D437">
            <w:pPr>
              <w:spacing w:line="440" w:lineRule="exact"/>
              <w:rPr>
                <w:sz w:val="28"/>
                <w:szCs w:val="28"/>
              </w:rPr>
            </w:pPr>
          </w:p>
        </w:tc>
      </w:tr>
      <w:tr w14:paraId="3DF152F7">
        <w:trPr>
          <w:trHeight w:val="567" w:hRule="atLeast"/>
        </w:trPr>
        <w:tc>
          <w:tcPr>
            <w:tcW w:w="1418" w:type="dxa"/>
            <w:vMerge w:val="continue"/>
            <w:noWrap w:val="0"/>
            <w:vAlign w:val="center"/>
          </w:tcPr>
          <w:p w14:paraId="15186892">
            <w:pPr>
              <w:spacing w:line="440" w:lineRule="exact"/>
              <w:rPr>
                <w:sz w:val="28"/>
                <w:szCs w:val="28"/>
              </w:rPr>
            </w:pPr>
          </w:p>
        </w:tc>
        <w:tc>
          <w:tcPr>
            <w:tcW w:w="1073" w:type="dxa"/>
            <w:vMerge w:val="continue"/>
            <w:noWrap w:val="0"/>
            <w:vAlign w:val="center"/>
          </w:tcPr>
          <w:p w14:paraId="426AB2D3">
            <w:pPr>
              <w:spacing w:line="440" w:lineRule="exact"/>
              <w:rPr>
                <w:sz w:val="28"/>
                <w:szCs w:val="28"/>
              </w:rPr>
            </w:pPr>
          </w:p>
        </w:tc>
        <w:tc>
          <w:tcPr>
            <w:tcW w:w="1177" w:type="dxa"/>
            <w:noWrap w:val="0"/>
            <w:vAlign w:val="center"/>
          </w:tcPr>
          <w:p w14:paraId="6661E235">
            <w:pPr>
              <w:spacing w:line="440" w:lineRule="exact"/>
              <w:jc w:val="center"/>
              <w:rPr>
                <w:sz w:val="28"/>
                <w:szCs w:val="28"/>
              </w:rPr>
            </w:pPr>
            <w:r>
              <w:rPr>
                <w:sz w:val="28"/>
                <w:szCs w:val="28"/>
              </w:rPr>
              <w:t>二等奖</w:t>
            </w:r>
          </w:p>
        </w:tc>
        <w:tc>
          <w:tcPr>
            <w:tcW w:w="2277" w:type="dxa"/>
            <w:noWrap w:val="0"/>
            <w:vAlign w:val="center"/>
          </w:tcPr>
          <w:p w14:paraId="7F49C10E">
            <w:pPr>
              <w:spacing w:line="440" w:lineRule="exact"/>
              <w:jc w:val="center"/>
              <w:rPr>
                <w:sz w:val="28"/>
                <w:szCs w:val="28"/>
              </w:rPr>
            </w:pPr>
            <w:r>
              <w:rPr>
                <w:sz w:val="28"/>
                <w:szCs w:val="28"/>
              </w:rPr>
              <w:t>1.0</w:t>
            </w:r>
          </w:p>
        </w:tc>
        <w:tc>
          <w:tcPr>
            <w:tcW w:w="1539" w:type="dxa"/>
            <w:noWrap w:val="0"/>
            <w:vAlign w:val="center"/>
          </w:tcPr>
          <w:p w14:paraId="103C8061">
            <w:pPr>
              <w:spacing w:line="440" w:lineRule="exact"/>
              <w:jc w:val="center"/>
              <w:rPr>
                <w:sz w:val="28"/>
                <w:szCs w:val="28"/>
              </w:rPr>
            </w:pPr>
            <w:r>
              <w:rPr>
                <w:sz w:val="28"/>
                <w:szCs w:val="28"/>
              </w:rPr>
              <w:t>30%</w:t>
            </w:r>
          </w:p>
        </w:tc>
        <w:tc>
          <w:tcPr>
            <w:tcW w:w="2103" w:type="dxa"/>
            <w:noWrap w:val="0"/>
            <w:vAlign w:val="center"/>
          </w:tcPr>
          <w:p w14:paraId="5A719820">
            <w:pPr>
              <w:spacing w:line="440" w:lineRule="exact"/>
              <w:rPr>
                <w:sz w:val="28"/>
                <w:szCs w:val="28"/>
              </w:rPr>
            </w:pPr>
          </w:p>
        </w:tc>
      </w:tr>
      <w:tr w14:paraId="68A0AE7E">
        <w:trPr>
          <w:trHeight w:val="567" w:hRule="atLeast"/>
        </w:trPr>
        <w:tc>
          <w:tcPr>
            <w:tcW w:w="1418" w:type="dxa"/>
            <w:vMerge w:val="continue"/>
            <w:noWrap w:val="0"/>
            <w:vAlign w:val="center"/>
          </w:tcPr>
          <w:p w14:paraId="1DCB87A7">
            <w:pPr>
              <w:spacing w:line="440" w:lineRule="exact"/>
              <w:rPr>
                <w:sz w:val="28"/>
                <w:szCs w:val="28"/>
              </w:rPr>
            </w:pPr>
          </w:p>
        </w:tc>
        <w:tc>
          <w:tcPr>
            <w:tcW w:w="1073" w:type="dxa"/>
            <w:vMerge w:val="continue"/>
            <w:noWrap w:val="0"/>
            <w:vAlign w:val="center"/>
          </w:tcPr>
          <w:p w14:paraId="78C88EFC">
            <w:pPr>
              <w:spacing w:line="440" w:lineRule="exact"/>
              <w:rPr>
                <w:sz w:val="28"/>
                <w:szCs w:val="28"/>
              </w:rPr>
            </w:pPr>
          </w:p>
        </w:tc>
        <w:tc>
          <w:tcPr>
            <w:tcW w:w="1177" w:type="dxa"/>
            <w:noWrap w:val="0"/>
            <w:vAlign w:val="center"/>
          </w:tcPr>
          <w:p w14:paraId="3199370D">
            <w:pPr>
              <w:spacing w:line="440" w:lineRule="exact"/>
              <w:jc w:val="center"/>
              <w:rPr>
                <w:sz w:val="28"/>
                <w:szCs w:val="28"/>
              </w:rPr>
            </w:pPr>
            <w:r>
              <w:rPr>
                <w:sz w:val="28"/>
                <w:szCs w:val="28"/>
              </w:rPr>
              <w:t>三等奖</w:t>
            </w:r>
          </w:p>
        </w:tc>
        <w:tc>
          <w:tcPr>
            <w:tcW w:w="2277" w:type="dxa"/>
            <w:noWrap w:val="0"/>
            <w:vAlign w:val="center"/>
          </w:tcPr>
          <w:p w14:paraId="7BE69F5C">
            <w:pPr>
              <w:spacing w:line="440" w:lineRule="exact"/>
              <w:jc w:val="center"/>
              <w:rPr>
                <w:sz w:val="28"/>
                <w:szCs w:val="28"/>
              </w:rPr>
            </w:pPr>
            <w:r>
              <w:rPr>
                <w:sz w:val="28"/>
                <w:szCs w:val="28"/>
              </w:rPr>
              <w:t>0.8</w:t>
            </w:r>
          </w:p>
        </w:tc>
        <w:tc>
          <w:tcPr>
            <w:tcW w:w="1539" w:type="dxa"/>
            <w:noWrap w:val="0"/>
            <w:vAlign w:val="center"/>
          </w:tcPr>
          <w:p w14:paraId="71BC2B19">
            <w:pPr>
              <w:spacing w:line="440" w:lineRule="exact"/>
              <w:jc w:val="center"/>
              <w:rPr>
                <w:sz w:val="28"/>
                <w:szCs w:val="28"/>
              </w:rPr>
            </w:pPr>
            <w:r>
              <w:rPr>
                <w:sz w:val="28"/>
                <w:szCs w:val="28"/>
              </w:rPr>
              <w:t>60%</w:t>
            </w:r>
          </w:p>
        </w:tc>
        <w:tc>
          <w:tcPr>
            <w:tcW w:w="2103" w:type="dxa"/>
            <w:noWrap w:val="0"/>
            <w:vAlign w:val="center"/>
          </w:tcPr>
          <w:p w14:paraId="7F5F41FC">
            <w:pPr>
              <w:spacing w:line="440" w:lineRule="exact"/>
              <w:rPr>
                <w:sz w:val="28"/>
                <w:szCs w:val="28"/>
              </w:rPr>
            </w:pPr>
          </w:p>
        </w:tc>
      </w:tr>
    </w:tbl>
    <w:p w14:paraId="2BB6DB5D">
      <w:pPr>
        <w:spacing w:line="440" w:lineRule="exact"/>
        <w:rPr>
          <w:rFonts w:eastAsia="楷体"/>
          <w:sz w:val="24"/>
          <w:szCs w:val="24"/>
        </w:rPr>
      </w:pPr>
      <w:r>
        <w:rPr>
          <w:rFonts w:eastAsia="楷体"/>
          <w:sz w:val="24"/>
          <w:szCs w:val="24"/>
        </w:rPr>
        <w:t>备注：1. X值详见表中备注栏。</w:t>
      </w:r>
    </w:p>
    <w:p w14:paraId="2B3A910B">
      <w:pPr>
        <w:spacing w:line="440" w:lineRule="exact"/>
        <w:ind w:firstLine="720" w:firstLineChars="300"/>
        <w:rPr>
          <w:rFonts w:eastAsia="楷体"/>
          <w:sz w:val="24"/>
          <w:szCs w:val="24"/>
          <w:highlight w:val="none"/>
        </w:rPr>
      </w:pPr>
      <w:r>
        <w:rPr>
          <w:rFonts w:hint="eastAsia" w:eastAsia="楷体"/>
          <w:sz w:val="24"/>
          <w:szCs w:val="24"/>
        </w:rPr>
        <w:t>2.</w:t>
      </w:r>
      <w:r>
        <w:rPr>
          <w:rFonts w:hint="eastAsia" w:eastAsia="楷体"/>
          <w:sz w:val="24"/>
          <w:szCs w:val="24"/>
          <w:highlight w:val="none"/>
        </w:rPr>
        <w:t>博士二、三、四年级研究生</w:t>
      </w:r>
      <w:r>
        <w:rPr>
          <w:rFonts w:hint="eastAsia" w:eastAsia="楷体"/>
          <w:sz w:val="24"/>
          <w:szCs w:val="24"/>
        </w:rPr>
        <w:t>一等学业奖学金获得者必须以第一作者（自然排序前一）在二区及以上SCI收录，且第一作者及最后通讯作者的第一署名单位须为“温州医科大学”。</w:t>
      </w:r>
      <w:r>
        <w:rPr>
          <w:rFonts w:hint="eastAsia" w:eastAsia="楷体"/>
          <w:sz w:val="24"/>
          <w:szCs w:val="24"/>
          <w:highlight w:val="none"/>
        </w:rPr>
        <w:t>在《温州医科大学高质量共识期刊目录》上发表的T1、T2类的文章，第一作者和最后通讯作者署名单位须含有“温州医科大学”。</w:t>
      </w:r>
    </w:p>
    <w:p w14:paraId="62DFE2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三、基本条件</w:t>
      </w:r>
    </w:p>
    <w:p w14:paraId="447266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（一）申请研究生学业奖学金应符合以下基本条件：</w:t>
      </w:r>
    </w:p>
    <w:p w14:paraId="1F705E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1.热爱社会主义祖国，拥护中国共产党的领导；</w:t>
      </w:r>
    </w:p>
    <w:p w14:paraId="6A1FB7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default" w:eastAsia="宋体" w:asciiTheme="minorAscii" w:hAnsiTheme="minorAscii" w:cstheme="minorBidi"/>
          <w:kern w:val="2"/>
          <w:sz w:val="28"/>
          <w:szCs w:val="24"/>
          <w:lang w:val="en-US" w:eastAsia="zh-CN" w:bidi="ar-SA"/>
        </w:rPr>
        <w:t>2.</w:t>
      </w:r>
      <w:r>
        <w:rPr>
          <w:rFonts w:hint="eastAsia" w:eastAsia="宋体" w:asciiTheme="minorAscii" w:hAnsiTheme="minorAscii" w:cstheme="minorBidi"/>
          <w:kern w:val="2"/>
          <w:sz w:val="28"/>
          <w:szCs w:val="24"/>
          <w:lang w:val="en-US" w:eastAsia="zh-CN" w:bidi="ar-SA"/>
        </w:rPr>
        <w:t>遵守宪法和法律，遵守学校规章制度；</w:t>
      </w:r>
    </w:p>
    <w:p w14:paraId="3AD7CCC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default" w:eastAsia="宋体" w:asciiTheme="minorAscii" w:hAnsiTheme="minorAscii" w:cstheme="minorBidi"/>
          <w:kern w:val="2"/>
          <w:sz w:val="28"/>
          <w:szCs w:val="24"/>
          <w:lang w:val="en-US" w:eastAsia="zh-CN" w:bidi="ar-SA"/>
        </w:rPr>
        <w:t>3.</w:t>
      </w:r>
      <w:r>
        <w:rPr>
          <w:rFonts w:hint="eastAsia" w:eastAsia="宋体" w:asciiTheme="minorAscii" w:hAnsiTheme="minorAscii" w:cstheme="minorBidi"/>
          <w:kern w:val="2"/>
          <w:sz w:val="28"/>
          <w:szCs w:val="24"/>
          <w:lang w:val="en-US" w:eastAsia="zh-CN" w:bidi="ar-SA"/>
        </w:rPr>
        <w:t>诚实守信，品学兼优；</w:t>
      </w:r>
    </w:p>
    <w:p w14:paraId="1CE222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default" w:eastAsia="宋体" w:asciiTheme="minorAscii" w:hAnsiTheme="minorAscii" w:cstheme="minorBidi"/>
          <w:kern w:val="2"/>
          <w:sz w:val="28"/>
          <w:szCs w:val="24"/>
          <w:lang w:val="en-US" w:eastAsia="zh-CN" w:bidi="ar-SA"/>
        </w:rPr>
        <w:t>4.</w:t>
      </w:r>
      <w:r>
        <w:rPr>
          <w:rFonts w:hint="eastAsia" w:eastAsia="宋体" w:asciiTheme="minorAscii" w:hAnsiTheme="minorAscii" w:cstheme="minorBidi"/>
          <w:kern w:val="2"/>
          <w:sz w:val="28"/>
          <w:szCs w:val="24"/>
          <w:lang w:val="en-US" w:eastAsia="zh-CN" w:bidi="ar-SA"/>
        </w:rPr>
        <w:t>积极参与科学研究和社会实践；</w:t>
      </w:r>
    </w:p>
    <w:p w14:paraId="4C02C9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default" w:eastAsia="宋体" w:asciiTheme="minorAscii" w:hAnsiTheme="minorAscii" w:cstheme="minorBidi"/>
          <w:kern w:val="2"/>
          <w:sz w:val="28"/>
          <w:szCs w:val="24"/>
          <w:lang w:val="en-US" w:eastAsia="zh-CN" w:bidi="ar-SA"/>
        </w:rPr>
        <w:t>5.</w:t>
      </w:r>
      <w:r>
        <w:rPr>
          <w:rFonts w:hint="eastAsia" w:eastAsia="宋体" w:asciiTheme="minorAscii" w:hAnsiTheme="minorAscii" w:cstheme="minorBidi"/>
          <w:kern w:val="2"/>
          <w:sz w:val="28"/>
          <w:szCs w:val="24"/>
          <w:lang w:val="en-US" w:eastAsia="zh-CN" w:bidi="ar-SA"/>
        </w:rPr>
        <w:t>按时缴纳学费并按期注册。</w:t>
      </w:r>
    </w:p>
    <w:p w14:paraId="3B3525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（二）</w:t>
      </w:r>
      <w:r>
        <w:rPr>
          <w:rFonts w:hint="eastAsia" w:eastAsia="宋体" w:asciiTheme="minorAscii" w:hAnsiTheme="minorAscii" w:cstheme="minorBidi"/>
          <w:b/>
          <w:bCs/>
          <w:kern w:val="2"/>
          <w:sz w:val="28"/>
          <w:szCs w:val="24"/>
          <w:lang w:val="en-US" w:eastAsia="zh-CN" w:bidi="ar-SA"/>
        </w:rPr>
        <w:t>硕博连读研究生</w:t>
      </w:r>
      <w:r>
        <w:rPr>
          <w:rFonts w:hint="eastAsia" w:eastAsia="宋体" w:asciiTheme="minorAscii" w:hAnsiTheme="minorAscii" w:cstheme="minorBidi"/>
          <w:kern w:val="2"/>
          <w:sz w:val="28"/>
          <w:szCs w:val="24"/>
          <w:lang w:val="en-US" w:eastAsia="zh-CN" w:bidi="ar-SA"/>
        </w:rPr>
        <w:t>在注册为博士研究生之前按照硕士研究生身份参与研究生学业奖学金评定，注册为博士研究生之后按照</w:t>
      </w:r>
      <w:r>
        <w:rPr>
          <w:rFonts w:hint="eastAsia" w:eastAsia="宋体" w:asciiTheme="minorAscii" w:hAnsiTheme="minorAscii" w:cstheme="minorBidi"/>
          <w:b/>
          <w:bCs/>
          <w:kern w:val="2"/>
          <w:sz w:val="28"/>
          <w:szCs w:val="24"/>
          <w:lang w:val="en-US" w:eastAsia="zh-CN" w:bidi="ar-SA"/>
        </w:rPr>
        <w:t>博士研究生身份</w:t>
      </w:r>
      <w:r>
        <w:rPr>
          <w:rFonts w:hint="eastAsia" w:eastAsia="宋体" w:asciiTheme="minorAscii" w:hAnsiTheme="minorAscii" w:cstheme="minorBidi"/>
          <w:kern w:val="2"/>
          <w:sz w:val="28"/>
          <w:szCs w:val="24"/>
          <w:lang w:val="en-US" w:eastAsia="zh-CN" w:bidi="ar-SA"/>
        </w:rPr>
        <w:t>参与研究生学业奖学金评定。</w:t>
      </w:r>
    </w:p>
    <w:p w14:paraId="70C846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（三）校外联合培养单位的研究生，根据我校与联合培养单位签订的协议，学业奖学金由联合培养单位负责发放，发放金额不得低于</w:t>
      </w:r>
      <w:r>
        <w:rPr>
          <w:rFonts w:hint="default" w:eastAsia="宋体" w:asciiTheme="minorAscii" w:hAnsiTheme="minorAscii" w:cstheme="minorBidi"/>
          <w:kern w:val="2"/>
          <w:sz w:val="28"/>
          <w:szCs w:val="24"/>
          <w:lang w:val="en-US" w:eastAsia="zh-CN" w:bidi="ar-SA"/>
        </w:rPr>
        <w:t>8000</w:t>
      </w:r>
      <w:r>
        <w:rPr>
          <w:rFonts w:hint="eastAsia" w:eastAsia="宋体" w:asciiTheme="minorAscii" w:hAnsiTheme="minorAscii" w:cstheme="minorBidi"/>
          <w:kern w:val="2"/>
          <w:sz w:val="28"/>
          <w:szCs w:val="24"/>
          <w:lang w:val="en-US" w:eastAsia="zh-CN" w:bidi="ar-SA"/>
        </w:rPr>
        <w:t>元</w:t>
      </w:r>
      <w:r>
        <w:rPr>
          <w:rFonts w:hint="default" w:eastAsia="宋体" w:asciiTheme="minorAscii" w:hAnsiTheme="minorAscii" w:cstheme="minorBidi"/>
          <w:kern w:val="2"/>
          <w:sz w:val="28"/>
          <w:szCs w:val="24"/>
          <w:lang w:val="en-US" w:eastAsia="zh-CN" w:bidi="ar-SA"/>
        </w:rPr>
        <w:t>/</w:t>
      </w:r>
      <w:r>
        <w:rPr>
          <w:rFonts w:hint="eastAsia" w:eastAsia="宋体" w:asciiTheme="minorAscii" w:hAnsiTheme="minorAscii" w:cstheme="minorBidi"/>
          <w:kern w:val="2"/>
          <w:sz w:val="28"/>
          <w:szCs w:val="24"/>
          <w:lang w:val="en-US" w:eastAsia="zh-CN" w:bidi="ar-SA"/>
        </w:rPr>
        <w:t>年。</w:t>
      </w:r>
    </w:p>
    <w:p w14:paraId="1C0C54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（四）</w:t>
      </w:r>
      <w:r>
        <w:rPr>
          <w:rFonts w:hint="eastAsia" w:eastAsia="宋体" w:asciiTheme="minorAscii" w:hAnsiTheme="minorAscii" w:cstheme="minorBidi"/>
          <w:b/>
          <w:bCs/>
          <w:kern w:val="2"/>
          <w:sz w:val="28"/>
          <w:szCs w:val="24"/>
          <w:lang w:val="en-US" w:eastAsia="zh-CN" w:bidi="ar-SA"/>
        </w:rPr>
        <w:t>2024级研究生</w:t>
      </w:r>
      <w:r>
        <w:rPr>
          <w:rFonts w:hint="eastAsia" w:eastAsia="宋体" w:asciiTheme="minorAscii" w:hAnsiTheme="minorAscii" w:cstheme="minorBidi"/>
          <w:kern w:val="2"/>
          <w:sz w:val="28"/>
          <w:szCs w:val="24"/>
          <w:lang w:val="en-US" w:eastAsia="zh-CN" w:bidi="ar-SA"/>
        </w:rPr>
        <w:t>学业奖学金获奖者由各学院根据本院研究生的实际招生情况确定获奖名单并公示，</w:t>
      </w:r>
      <w:r>
        <w:rPr>
          <w:rFonts w:hint="eastAsia" w:eastAsia="宋体" w:asciiTheme="minorAscii" w:hAnsiTheme="minorAscii" w:cstheme="minorBidi"/>
          <w:b/>
          <w:bCs/>
          <w:kern w:val="2"/>
          <w:sz w:val="28"/>
          <w:szCs w:val="24"/>
          <w:lang w:val="en-US" w:eastAsia="zh-CN" w:bidi="ar-SA"/>
        </w:rPr>
        <w:t>无需学生个人申请。</w:t>
      </w:r>
    </w:p>
    <w:p w14:paraId="685CA4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both"/>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（五）</w:t>
      </w:r>
      <w:r>
        <w:rPr>
          <w:rFonts w:hint="eastAsia" w:cstheme="minorBidi"/>
          <w:b/>
          <w:bCs/>
          <w:kern w:val="2"/>
          <w:sz w:val="28"/>
          <w:szCs w:val="24"/>
          <w:highlight w:val="none"/>
          <w:lang w:val="en-US" w:eastAsia="zh-CN" w:bidi="ar-SA"/>
        </w:rPr>
        <w:t>2022级、2023级</w:t>
      </w:r>
      <w:r>
        <w:rPr>
          <w:rFonts w:hint="eastAsia" w:eastAsia="宋体" w:asciiTheme="minorAscii" w:hAnsiTheme="minorAscii" w:cstheme="minorBidi"/>
          <w:kern w:val="2"/>
          <w:sz w:val="28"/>
          <w:szCs w:val="24"/>
          <w:lang w:val="en-US" w:eastAsia="zh-CN" w:bidi="ar-SA"/>
        </w:rPr>
        <w:t>研究生学业奖学金名额由研究生院按在校生比例已划拨至各辅导员处。由学院按照学生年级及培养类别分类评选，获奖人数应低于分配名额，如满足条件数量超过名额应按照综合素质测评办法累积分数择优推选。</w:t>
      </w:r>
    </w:p>
    <w:p w14:paraId="6543F1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left"/>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（六）博士研究生总人数小于</w:t>
      </w:r>
      <w:r>
        <w:rPr>
          <w:rFonts w:hint="default" w:eastAsia="宋体" w:asciiTheme="minorAscii" w:hAnsiTheme="minorAscii" w:cstheme="minorBidi"/>
          <w:kern w:val="2"/>
          <w:sz w:val="28"/>
          <w:szCs w:val="24"/>
          <w:lang w:val="en-US" w:eastAsia="zh-CN" w:bidi="ar-SA"/>
        </w:rPr>
        <w:t>5</w:t>
      </w:r>
      <w:r>
        <w:rPr>
          <w:rFonts w:hint="eastAsia" w:eastAsia="宋体" w:asciiTheme="minorAscii" w:hAnsiTheme="minorAscii" w:cstheme="minorBidi"/>
          <w:kern w:val="2"/>
          <w:sz w:val="28"/>
          <w:szCs w:val="24"/>
          <w:lang w:val="en-US" w:eastAsia="zh-CN" w:bidi="ar-SA"/>
        </w:rPr>
        <w:t>人的学院，将博士研究生学业奖学金按照综合测评办法进行打分、排序，由学院初审后，报研究生院联评。</w:t>
      </w:r>
    </w:p>
    <w:p w14:paraId="710EA6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48"/>
        <w:jc w:val="left"/>
        <w:rPr>
          <w:rFonts w:hint="eastAsia" w:eastAsia="宋体" w:asciiTheme="minorAscii" w:hAnsiTheme="minorAscii" w:cstheme="minorBidi"/>
          <w:kern w:val="2"/>
          <w:sz w:val="28"/>
          <w:szCs w:val="24"/>
          <w:lang w:val="en-US" w:eastAsia="zh-CN" w:bidi="ar-SA"/>
        </w:rPr>
      </w:pPr>
      <w:r>
        <w:rPr>
          <w:rFonts w:hint="eastAsia" w:eastAsia="宋体" w:asciiTheme="minorAscii" w:hAnsiTheme="minorAscii" w:cstheme="minorBidi"/>
          <w:kern w:val="2"/>
          <w:sz w:val="28"/>
          <w:szCs w:val="24"/>
          <w:lang w:val="en-US" w:eastAsia="zh-CN" w:bidi="ar-SA"/>
        </w:rPr>
        <w:t>（七）研究生支教团成员支教期满返校学习，第一年享受温州医科大学研究生一等学业奖学金，其奖学金名额单独划拨。</w:t>
      </w:r>
    </w:p>
    <w:p w14:paraId="0F1AA0D6">
      <w:pPr>
        <w:ind w:firstLine="560" w:firstLineChars="200"/>
        <w:rPr>
          <w:rFonts w:hint="eastAsia"/>
          <w:b/>
          <w:bCs/>
          <w:color w:val="FF0000"/>
          <w:lang w:eastAsia="zh-CN"/>
        </w:rPr>
      </w:pPr>
      <w:r>
        <w:rPr>
          <w:rFonts w:hint="eastAsia"/>
        </w:rPr>
        <w:t>（</w:t>
      </w:r>
      <w:r>
        <w:rPr>
          <w:rFonts w:hint="eastAsia"/>
          <w:lang w:val="en-US" w:eastAsia="zh-CN"/>
        </w:rPr>
        <w:t>八</w:t>
      </w:r>
      <w:r>
        <w:rPr>
          <w:rFonts w:hint="eastAsia"/>
        </w:rPr>
        <w:t>）</w:t>
      </w:r>
      <w:r>
        <w:rPr>
          <w:rFonts w:hint="eastAsia"/>
          <w:b/>
          <w:bCs/>
          <w:color w:val="FF0000"/>
        </w:rPr>
        <w:t>学业奖学金评定的材料内容为202</w:t>
      </w:r>
      <w:r>
        <w:rPr>
          <w:rFonts w:hint="eastAsia"/>
          <w:b/>
          <w:bCs/>
          <w:color w:val="FF0000"/>
          <w:lang w:val="en-US" w:eastAsia="zh-CN"/>
        </w:rPr>
        <w:t>3</w:t>
      </w:r>
      <w:r>
        <w:rPr>
          <w:rFonts w:hint="eastAsia"/>
          <w:b/>
          <w:bCs/>
          <w:color w:val="FF0000"/>
        </w:rPr>
        <w:t>年8月31日至202</w:t>
      </w:r>
      <w:r>
        <w:rPr>
          <w:rFonts w:hint="eastAsia"/>
          <w:b/>
          <w:bCs/>
          <w:color w:val="FF0000"/>
          <w:lang w:val="en-US" w:eastAsia="zh-CN"/>
        </w:rPr>
        <w:t>4</w:t>
      </w:r>
      <w:r>
        <w:rPr>
          <w:rFonts w:hint="eastAsia"/>
          <w:b/>
          <w:bCs/>
          <w:color w:val="FF0000"/>
        </w:rPr>
        <w:t>年9月</w:t>
      </w:r>
      <w:r>
        <w:rPr>
          <w:rFonts w:hint="eastAsia"/>
          <w:b/>
          <w:bCs/>
          <w:color w:val="FF0000"/>
          <w:lang w:val="en-US" w:eastAsia="zh-CN"/>
        </w:rPr>
        <w:t>1</w:t>
      </w:r>
      <w:r>
        <w:rPr>
          <w:rFonts w:hint="eastAsia"/>
          <w:b/>
          <w:bCs/>
          <w:color w:val="FF0000"/>
        </w:rPr>
        <w:t>日</w:t>
      </w:r>
      <w:r>
        <w:rPr>
          <w:rFonts w:hint="eastAsia"/>
          <w:b/>
          <w:bCs/>
          <w:color w:val="FF0000"/>
          <w:lang w:eastAsia="zh-CN"/>
        </w:rPr>
        <w:t>。</w:t>
      </w:r>
    </w:p>
    <w:p w14:paraId="3A63A296">
      <w:pPr>
        <w:rPr>
          <w:rFonts w:hint="eastAsia"/>
        </w:rPr>
      </w:pPr>
      <w:r>
        <w:rPr>
          <w:rFonts w:hint="eastAsia"/>
        </w:rPr>
        <w:t>四、评审程序</w:t>
      </w:r>
    </w:p>
    <w:p w14:paraId="6ED51929">
      <w:pPr>
        <w:ind w:firstLine="560" w:firstLineChars="200"/>
        <w:rPr>
          <w:rFonts w:hint="default" w:eastAsia="宋体"/>
          <w:lang w:val="en-US" w:eastAsia="zh-CN"/>
        </w:rPr>
      </w:pPr>
      <w:r>
        <w:rPr>
          <w:rFonts w:hint="eastAsia"/>
          <w:lang w:eastAsia="zh-CN"/>
        </w:rPr>
        <w:t>（</w:t>
      </w:r>
      <w:r>
        <w:rPr>
          <w:rFonts w:hint="eastAsia"/>
          <w:lang w:val="en-US" w:eastAsia="zh-CN"/>
        </w:rPr>
        <w:t>一）个人申请：2024年10月8日中午12时前将汇总表及证明材料的和电子版上交到班级班长处，</w:t>
      </w:r>
      <w:r>
        <w:rPr>
          <w:rFonts w:hint="eastAsia"/>
          <w:b/>
          <w:bCs/>
          <w:lang w:val="en-US" w:eastAsia="zh-CN"/>
        </w:rPr>
        <w:t>逾期不再接收个人提交的其他材料</w:t>
      </w:r>
      <w:r>
        <w:rPr>
          <w:rFonts w:hint="eastAsia"/>
          <w:lang w:val="en-US" w:eastAsia="zh-CN"/>
        </w:rPr>
        <w:t>，每个班级的分配名额详情见附件。</w:t>
      </w:r>
    </w:p>
    <w:p w14:paraId="006ED13E">
      <w:pPr>
        <w:ind w:firstLine="560" w:firstLineChars="200"/>
        <w:rPr>
          <w:rFonts w:hint="default" w:eastAsia="宋体"/>
          <w:lang w:val="en-US" w:eastAsia="zh-CN"/>
        </w:rPr>
      </w:pPr>
      <w:r>
        <w:rPr>
          <w:rFonts w:hint="eastAsia"/>
          <w:lang w:eastAsia="zh-CN"/>
        </w:rPr>
        <w:t>（</w:t>
      </w:r>
      <w:r>
        <w:rPr>
          <w:rFonts w:hint="eastAsia"/>
          <w:lang w:val="en-US" w:eastAsia="zh-CN"/>
        </w:rPr>
        <w:t>二）</w:t>
      </w:r>
      <w:r>
        <w:rPr>
          <w:rFonts w:hint="eastAsia"/>
          <w:b/>
          <w:bCs/>
          <w:color w:val="FF0000"/>
        </w:rPr>
        <w:t>各班</w:t>
      </w:r>
      <w:r>
        <w:rPr>
          <w:rFonts w:hint="eastAsia"/>
          <w:b/>
          <w:bCs/>
          <w:color w:val="FF0000"/>
          <w:lang w:val="en-US" w:eastAsia="zh-CN"/>
        </w:rPr>
        <w:t>10</w:t>
      </w:r>
      <w:r>
        <w:rPr>
          <w:rFonts w:hint="eastAsia"/>
          <w:b/>
          <w:bCs/>
          <w:color w:val="FF0000"/>
        </w:rPr>
        <w:t>月</w:t>
      </w:r>
      <w:r>
        <w:rPr>
          <w:rFonts w:hint="eastAsia"/>
          <w:b/>
          <w:bCs/>
          <w:color w:val="FF0000"/>
          <w:lang w:val="en-US" w:eastAsia="zh-CN"/>
        </w:rPr>
        <w:t>11</w:t>
      </w:r>
      <w:r>
        <w:rPr>
          <w:rFonts w:hint="eastAsia"/>
          <w:b/>
          <w:bCs/>
          <w:color w:val="FF0000"/>
        </w:rPr>
        <w:t>日</w:t>
      </w:r>
      <w:r>
        <w:rPr>
          <w:rFonts w:hint="eastAsia"/>
          <w:b/>
          <w:bCs/>
          <w:color w:val="FF0000"/>
          <w:lang w:val="en-US" w:eastAsia="zh-CN"/>
        </w:rPr>
        <w:t>中午12时</w:t>
      </w:r>
      <w:r>
        <w:rPr>
          <w:rFonts w:hint="eastAsia"/>
          <w:b/>
          <w:bCs/>
          <w:color w:val="FF0000"/>
        </w:rPr>
        <w:t>前完成核分，并在</w:t>
      </w:r>
      <w:r>
        <w:rPr>
          <w:rFonts w:hint="eastAsia"/>
          <w:b/>
          <w:bCs/>
          <w:color w:val="FF0000"/>
          <w:lang w:val="en-US" w:eastAsia="zh-CN"/>
        </w:rPr>
        <w:t>10</w:t>
      </w:r>
      <w:r>
        <w:rPr>
          <w:rFonts w:hint="eastAsia"/>
          <w:b/>
          <w:bCs/>
          <w:color w:val="FF0000"/>
        </w:rPr>
        <w:t>月</w:t>
      </w:r>
      <w:r>
        <w:rPr>
          <w:rFonts w:hint="eastAsia"/>
          <w:b/>
          <w:bCs/>
          <w:color w:val="FF0000"/>
          <w:lang w:val="en-US" w:eastAsia="zh-CN"/>
        </w:rPr>
        <w:t>12</w:t>
      </w:r>
      <w:r>
        <w:rPr>
          <w:rFonts w:hint="eastAsia"/>
          <w:b/>
          <w:bCs/>
          <w:color w:val="FF0000"/>
        </w:rPr>
        <w:t>日中午12时前</w:t>
      </w:r>
      <w:r>
        <w:rPr>
          <w:rFonts w:hint="eastAsia"/>
          <w:b/>
          <w:bCs/>
          <w:color w:val="FF0000"/>
          <w:lang w:val="en-US" w:eastAsia="zh-CN"/>
        </w:rPr>
        <w:t>在班级完成公示</w:t>
      </w:r>
      <w:r>
        <w:rPr>
          <w:rFonts w:hint="eastAsia"/>
          <w:b/>
          <w:bCs/>
          <w:color w:val="FF0000"/>
        </w:rPr>
        <w:t>。</w:t>
      </w:r>
      <w:r>
        <w:rPr>
          <w:rFonts w:hint="eastAsia"/>
        </w:rPr>
        <w:t>核分小组5-6</w:t>
      </w:r>
      <w:r>
        <w:rPr>
          <w:rFonts w:hint="eastAsia"/>
          <w:lang w:val="en-US" w:eastAsia="zh-CN"/>
        </w:rPr>
        <w:t>人</w:t>
      </w:r>
      <w:r>
        <w:rPr>
          <w:rFonts w:hint="eastAsia"/>
        </w:rPr>
        <w:t>，成员包括：各班班长、团支书、党员1-2、群众1-2。参评人除班长、团支书外，其他一律回避，名单需提前上报年级并公示。</w:t>
      </w:r>
      <w:r>
        <w:rPr>
          <w:rFonts w:hint="eastAsia"/>
          <w:lang w:val="en-US" w:eastAsia="zh-CN"/>
        </w:rPr>
        <w:t>10月13日全年级公示3天，接受意见反馈。</w:t>
      </w:r>
    </w:p>
    <w:p w14:paraId="4A2CA90C">
      <w:pPr>
        <w:ind w:firstLine="560" w:firstLineChars="200"/>
        <w:rPr>
          <w:rFonts w:hint="eastAsia"/>
        </w:rPr>
      </w:pPr>
      <w:r>
        <w:rPr>
          <w:rFonts w:hint="eastAsia"/>
        </w:rPr>
        <w:t>（</w:t>
      </w:r>
      <w:r>
        <w:rPr>
          <w:rFonts w:hint="eastAsia"/>
          <w:lang w:val="en-US" w:eastAsia="zh-CN"/>
        </w:rPr>
        <w:t>三</w:t>
      </w:r>
      <w:r>
        <w:rPr>
          <w:rFonts w:hint="eastAsia"/>
        </w:rPr>
        <w:t>）学校评审办公室对各学院研究生学业奖学金初评结果进行汇总、审定，并在研究生院网站进行不少于2个工作日的公示。经公示后，将当年学业奖学金信息报送计划财务处。</w:t>
      </w:r>
    </w:p>
    <w:p w14:paraId="37EEA956">
      <w:pPr>
        <w:ind w:firstLine="560" w:firstLineChars="200"/>
        <w:rPr>
          <w:rFonts w:hint="eastAsia"/>
        </w:rPr>
      </w:pPr>
      <w:r>
        <w:rPr>
          <w:rFonts w:hint="eastAsia"/>
        </w:rPr>
        <w:t>（</w:t>
      </w:r>
      <w:r>
        <w:rPr>
          <w:rFonts w:hint="eastAsia"/>
          <w:lang w:val="en-US" w:eastAsia="zh-CN"/>
        </w:rPr>
        <w:t>四</w:t>
      </w:r>
      <w:r>
        <w:rPr>
          <w:rFonts w:hint="eastAsia"/>
        </w:rPr>
        <w:t>）对研究生学业奖学金评审结果有异议的，</w:t>
      </w:r>
      <w:r>
        <w:rPr>
          <w:rFonts w:hint="eastAsia"/>
          <w:b/>
          <w:bCs/>
        </w:rPr>
        <w:t>可在学院公示阶段向所在学院评审委员会提出申诉，学院评审委员会应及时研究并予以答复</w:t>
      </w:r>
      <w:r>
        <w:rPr>
          <w:rFonts w:hint="eastAsia"/>
        </w:rPr>
        <w:t>。如申诉人对学院作出的答复仍存在异议，可在学校公示阶段向学校评审领导小组提请裁决，处理结果以适当形式送达学院和研究生本人。</w:t>
      </w:r>
    </w:p>
    <w:p w14:paraId="0F03FA3A">
      <w:pPr>
        <w:ind w:firstLine="560" w:firstLineChars="200"/>
        <w:rPr>
          <w:rFonts w:hint="eastAsia"/>
        </w:rPr>
      </w:pPr>
    </w:p>
    <w:p w14:paraId="530B199A">
      <w:pPr>
        <w:rPr>
          <w:rFonts w:hint="eastAsia"/>
        </w:rPr>
      </w:pPr>
      <w:r>
        <w:rPr>
          <w:rFonts w:hint="eastAsia"/>
        </w:rPr>
        <w:t>五、工作要求</w:t>
      </w:r>
    </w:p>
    <w:p w14:paraId="25712B79">
      <w:pPr>
        <w:ind w:firstLine="560" w:firstLineChars="200"/>
        <w:rPr>
          <w:rFonts w:hint="eastAsia"/>
        </w:rPr>
      </w:pPr>
      <w:r>
        <w:rPr>
          <w:rFonts w:hint="eastAsia"/>
        </w:rPr>
        <w:t>（一）研究生学业奖学金的评审工作应坚持公正、公平、公开、择优的原则，严格执行国家有关教育法规，杜绝弄虚作假。</w:t>
      </w:r>
    </w:p>
    <w:p w14:paraId="4985C1EE">
      <w:pPr>
        <w:ind w:firstLine="560" w:firstLineChars="200"/>
        <w:rPr>
          <w:rFonts w:hint="eastAsia"/>
        </w:rPr>
      </w:pPr>
      <w:r>
        <w:rPr>
          <w:rFonts w:hint="eastAsia"/>
        </w:rPr>
        <w:t>（二）各学院应成立研究生奖学金评审委员会，由学院主要领导任主任委员，分管研究生工作的负责人、研究生导师、研究生管理人员、相关行政管理人员、学生代表任委员。评审委员会负责制定本学院研究生奖学金实施细则，具体负责本学院的申请组织、评审、确定获奖人选等工作。</w:t>
      </w:r>
    </w:p>
    <w:p w14:paraId="1B46CCC0">
      <w:pPr>
        <w:ind w:firstLine="560" w:firstLineChars="200"/>
        <w:rPr>
          <w:rFonts w:hint="eastAsia"/>
        </w:rPr>
      </w:pPr>
      <w:r>
        <w:rPr>
          <w:rFonts w:hint="eastAsia"/>
        </w:rPr>
        <w:t>（三）各学院要认真组织评审工作，进一步明确奖励导向，充分发挥研究生学业奖学金的激励作用。各学院要对申请人科研成果材料严格把关，确保成果真实有效。</w:t>
      </w:r>
    </w:p>
    <w:p w14:paraId="7F4E5C76">
      <w:pPr>
        <w:rPr>
          <w:rFonts w:hint="eastAsia"/>
        </w:rPr>
      </w:pPr>
    </w:p>
    <w:p w14:paraId="2935098D">
      <w:pPr>
        <w:rPr>
          <w:rFonts w:hint="eastAsia"/>
        </w:rPr>
      </w:pPr>
      <w:r>
        <w:rPr>
          <w:rFonts w:hint="eastAsia"/>
        </w:rPr>
        <w:t>六、材料报送</w:t>
      </w:r>
    </w:p>
    <w:p w14:paraId="73FFD9B5">
      <w:pPr>
        <w:ind w:firstLine="560" w:firstLineChars="200"/>
        <w:rPr>
          <w:rFonts w:hint="eastAsia" w:eastAsia="宋体"/>
          <w:lang w:eastAsia="zh-CN"/>
        </w:rPr>
      </w:pPr>
      <w:r>
        <w:rPr>
          <w:rFonts w:hint="eastAsia"/>
        </w:rPr>
        <w:t>（一）《温州医科大学研究生学业奖学金汇总表》及《温州医科大学研究生学业奖学金申请表》电子版</w:t>
      </w:r>
      <w:r>
        <w:rPr>
          <w:rFonts w:hint="eastAsia"/>
          <w:b/>
          <w:bCs/>
          <w:color w:val="FF0000"/>
        </w:rPr>
        <w:t>，以及所有加分项的证明材料（无证明不加分）。并在所有证明材料上用笔划上自己的署名</w:t>
      </w:r>
      <w:r>
        <w:rPr>
          <w:rFonts w:hint="eastAsia"/>
        </w:rPr>
        <w:t>，例如SCI论文收录证明中标题、作者、发表时间、作者单位、影响因子等关键内容须以下划线标出，并在标题后面标注“论文1”、“论文2”等</w:t>
      </w:r>
      <w:r>
        <w:rPr>
          <w:rFonts w:hint="eastAsia"/>
          <w:lang w:eastAsia="zh-CN"/>
        </w:rPr>
        <w:t>。</w:t>
      </w:r>
    </w:p>
    <w:p w14:paraId="006B4E4B">
      <w:pPr>
        <w:ind w:firstLine="560" w:firstLineChars="200"/>
        <w:rPr>
          <w:rFonts w:hint="eastAsia" w:eastAsia="宋体"/>
          <w:lang w:eastAsia="zh-CN"/>
        </w:rPr>
      </w:pPr>
      <w:r>
        <w:rPr>
          <w:rFonts w:hint="eastAsia"/>
        </w:rPr>
        <w:t>（二）相关材料于2024年10月8日中午12点前将材料发到各班班长处。</w:t>
      </w:r>
      <w:r>
        <w:rPr>
          <w:rFonts w:hint="eastAsia"/>
          <w:b/>
          <w:bCs/>
          <w:color w:val="FF0000"/>
          <w:lang w:val="en-US" w:eastAsia="zh-CN"/>
        </w:rPr>
        <w:t>各班班长统一将材料以钉钉形式发送至分管辅导员处</w:t>
      </w:r>
      <w:r>
        <w:rPr>
          <w:rFonts w:hint="eastAsia"/>
          <w:lang w:val="en-US" w:eastAsia="zh-CN"/>
        </w:rPr>
        <w:t>。</w:t>
      </w:r>
      <w:r>
        <w:rPr>
          <w:rFonts w:hint="eastAsia"/>
        </w:rPr>
        <w:t>联系电话：0577-85676887</w:t>
      </w:r>
      <w:r>
        <w:rPr>
          <w:rFonts w:hint="eastAsia"/>
          <w:lang w:eastAsia="zh-CN"/>
        </w:rPr>
        <w:t>。</w:t>
      </w:r>
    </w:p>
    <w:p w14:paraId="7FC0DDBB">
      <w:pPr>
        <w:rPr>
          <w:rFonts w:hint="eastAsia"/>
        </w:rPr>
      </w:pPr>
    </w:p>
    <w:p w14:paraId="749B8644">
      <w:pPr>
        <w:rPr>
          <w:rFonts w:hint="eastAsia"/>
        </w:rPr>
      </w:pPr>
      <w:r>
        <w:rPr>
          <w:rFonts w:hint="eastAsia"/>
        </w:rPr>
        <w:t>七、特别说明</w:t>
      </w:r>
    </w:p>
    <w:p w14:paraId="355D8F48">
      <w:pPr>
        <w:ind w:firstLine="560" w:firstLineChars="200"/>
        <w:rPr>
          <w:rFonts w:hint="eastAsia"/>
        </w:rPr>
      </w:pPr>
      <w:r>
        <w:rPr>
          <w:rFonts w:hint="eastAsia"/>
        </w:rPr>
        <w:t>对发表在</w:t>
      </w:r>
      <w:r>
        <w:rPr>
          <w:rFonts w:hint="eastAsia"/>
          <w:b/>
          <w:bCs/>
          <w:color w:val="FF0000"/>
        </w:rPr>
        <w:t>预警期刊上的论文不得作</w:t>
      </w:r>
      <w:r>
        <w:rPr>
          <w:rFonts w:hint="eastAsia"/>
        </w:rPr>
        <w:t>为研究生申请学位、评奖评优、项目申报等方面的业绩材料（以论文录用发表时学校预警及风险期刊目录为依据，《关于调整《温州医科大学预警及风险期刊目录》的通知》（温医科[ 2023 ] 6号）、《温州医科大学预警及风险期刊目录》的补充规定（温医科〔2024〕6号））。</w:t>
      </w:r>
    </w:p>
    <w:p w14:paraId="3A58B634">
      <w:pPr>
        <w:ind w:firstLine="560" w:firstLineChars="200"/>
        <w:rPr>
          <w:rFonts w:hint="eastAsia"/>
          <w:lang w:val="en-US" w:eastAsia="zh-CN"/>
        </w:rPr>
      </w:pPr>
    </w:p>
    <w:p w14:paraId="42AB70E5">
      <w:pPr>
        <w:ind w:firstLine="560" w:firstLineChars="200"/>
        <w:rPr>
          <w:rFonts w:hint="eastAsia"/>
          <w:lang w:val="en-US" w:eastAsia="zh-CN"/>
        </w:rPr>
      </w:pPr>
      <w:r>
        <w:rPr>
          <w:rFonts w:hint="eastAsia"/>
          <w:lang w:val="en-US" w:eastAsia="zh-CN"/>
        </w:rPr>
        <w:t>附件：</w:t>
      </w:r>
    </w:p>
    <w:p w14:paraId="4EF9D0AB">
      <w:pPr>
        <w:ind w:firstLine="560" w:firstLineChars="200"/>
        <w:rPr>
          <w:rFonts w:hint="eastAsia"/>
          <w:lang w:val="en-US" w:eastAsia="zh-CN"/>
        </w:rPr>
      </w:pPr>
      <w:r>
        <w:rPr>
          <w:rFonts w:hint="eastAsia"/>
          <w:lang w:val="en-US" w:eastAsia="zh-CN"/>
        </w:rPr>
        <w:t>附件1：温医大研〔2022〕25号  温州医科大学研究生综合素质测评办法（自2022级起适用）</w:t>
      </w:r>
    </w:p>
    <w:p w14:paraId="7474ED88">
      <w:pPr>
        <w:ind w:firstLine="560" w:firstLineChars="200"/>
        <w:rPr>
          <w:rFonts w:hint="eastAsia"/>
          <w:lang w:val="en-US" w:eastAsia="zh-CN"/>
        </w:rPr>
      </w:pPr>
      <w:r>
        <w:rPr>
          <w:rFonts w:hint="eastAsia"/>
          <w:lang w:val="en-US" w:eastAsia="zh-CN"/>
        </w:rPr>
        <w:t>附件2：温医大〔2022〕69号  温州医科大学关于印发研究生教育收费及奖助体系实施办法（试行）的通知（定稿）</w:t>
      </w:r>
    </w:p>
    <w:p w14:paraId="5278CF16">
      <w:pPr>
        <w:ind w:firstLine="560" w:firstLineChars="200"/>
        <w:rPr>
          <w:rFonts w:hint="eastAsia"/>
          <w:b/>
          <w:bCs/>
          <w:lang w:val="en-US" w:eastAsia="zh-CN"/>
        </w:rPr>
      </w:pPr>
      <w:r>
        <w:rPr>
          <w:rFonts w:hint="eastAsia"/>
          <w:lang w:val="en-US" w:eastAsia="zh-CN"/>
        </w:rPr>
        <w:t>附件3：温州医科大学预警及风险期刊目录（2023 年版）</w:t>
      </w:r>
    </w:p>
    <w:p w14:paraId="68541F5B">
      <w:pPr>
        <w:ind w:firstLine="560" w:firstLineChars="200"/>
        <w:rPr>
          <w:rFonts w:hint="eastAsia"/>
          <w:lang w:val="en-US" w:eastAsia="zh-CN"/>
        </w:rPr>
      </w:pPr>
      <w:r>
        <w:rPr>
          <w:rFonts w:hint="eastAsia"/>
          <w:lang w:val="en-US" w:eastAsia="zh-CN"/>
        </w:rPr>
        <w:t>附件4：温医科﹝2024﹞6号——关于温州医科大学预警及风险期刊目录的补充规定</w:t>
      </w:r>
    </w:p>
    <w:p w14:paraId="1D3EE7B9">
      <w:pPr>
        <w:ind w:firstLine="560" w:firstLineChars="200"/>
        <w:rPr>
          <w:rFonts w:hint="eastAsia"/>
          <w:lang w:val="en-US" w:eastAsia="zh-CN"/>
        </w:rPr>
      </w:pPr>
      <w:r>
        <w:rPr>
          <w:rFonts w:hint="eastAsia"/>
          <w:lang w:val="en-US" w:eastAsia="zh-CN"/>
        </w:rPr>
        <w:t>附件5：温医科〔2022〕15号-温州医科大学高质量共识期刊目录（科技类）</w:t>
      </w:r>
    </w:p>
    <w:p w14:paraId="30D0E969">
      <w:pPr>
        <w:ind w:firstLine="560" w:firstLineChars="200"/>
        <w:rPr>
          <w:rFonts w:hint="default"/>
          <w:lang w:val="en-US" w:eastAsia="zh-CN"/>
        </w:rPr>
      </w:pPr>
      <w:r>
        <w:rPr>
          <w:rFonts w:hint="default"/>
          <w:lang w:val="en-US" w:eastAsia="zh-CN"/>
        </w:rPr>
        <w:t>附件6</w:t>
      </w:r>
      <w:r>
        <w:rPr>
          <w:rFonts w:hint="eastAsia"/>
          <w:lang w:val="en-US" w:eastAsia="zh-CN"/>
        </w:rPr>
        <w:t>：</w:t>
      </w:r>
      <w:r>
        <w:rPr>
          <w:rFonts w:hint="default"/>
          <w:lang w:val="en-US" w:eastAsia="zh-CN"/>
        </w:rPr>
        <w:t>温医大研〔2013〕12号  温州医科大学学位与研究生教育期刊定级名录（2013年版）</w:t>
      </w:r>
    </w:p>
    <w:p w14:paraId="4A829476">
      <w:pPr>
        <w:ind w:firstLine="560" w:firstLineChars="200"/>
        <w:rPr>
          <w:rFonts w:hint="default"/>
          <w:lang w:val="en-US" w:eastAsia="zh-CN"/>
        </w:rPr>
      </w:pPr>
      <w:r>
        <w:rPr>
          <w:rFonts w:hint="default"/>
          <w:lang w:val="en-US" w:eastAsia="zh-CN"/>
        </w:rPr>
        <w:t>附件7</w:t>
      </w:r>
      <w:r>
        <w:rPr>
          <w:rFonts w:hint="eastAsia"/>
          <w:lang w:val="en-US" w:eastAsia="zh-CN"/>
        </w:rPr>
        <w:t>：</w:t>
      </w:r>
      <w:r>
        <w:rPr>
          <w:rFonts w:hint="default"/>
          <w:lang w:val="en-US" w:eastAsia="zh-CN"/>
        </w:rPr>
        <w:t>温医大〔2022〕87号——温州医科大学关于印发科研绩效评价管理办法（试行）的通知(适用2023.1-2025.12)</w:t>
      </w:r>
      <w:bookmarkStart w:id="0" w:name="_GoBack"/>
      <w:bookmarkEnd w:id="0"/>
    </w:p>
    <w:p w14:paraId="72E72C43">
      <w:pPr>
        <w:ind w:firstLine="560" w:firstLineChars="200"/>
        <w:rPr>
          <w:rFonts w:hint="eastAsia"/>
          <w:lang w:val="en-US" w:eastAsia="zh-CN"/>
        </w:rPr>
      </w:pPr>
      <w:r>
        <w:rPr>
          <w:rFonts w:hint="eastAsia"/>
          <w:lang w:val="en-US" w:eastAsia="zh-CN"/>
        </w:rPr>
        <w:t>附件8：温州医科大学研究生学业奖学金申请材料汇总表</w:t>
      </w:r>
    </w:p>
    <w:p w14:paraId="6AB792D6">
      <w:pPr>
        <w:ind w:firstLine="560" w:firstLineChars="200"/>
        <w:rPr>
          <w:rFonts w:hint="default"/>
          <w:lang w:val="en-US" w:eastAsia="zh-CN"/>
        </w:rPr>
      </w:pPr>
      <w:r>
        <w:rPr>
          <w:rFonts w:hint="eastAsia"/>
          <w:lang w:val="en-US" w:eastAsia="zh-CN"/>
        </w:rPr>
        <w:t>附件9：研究生学业奖学金获奖学生汇总表（班长汇总）</w:t>
      </w:r>
    </w:p>
    <w:p w14:paraId="656FF1ED">
      <w:pPr>
        <w:jc w:val="right"/>
        <w:rPr>
          <w:rFonts w:hint="eastAsia"/>
          <w:lang w:val="en-US" w:eastAsia="zh-CN"/>
        </w:rPr>
      </w:pPr>
      <w:r>
        <w:rPr>
          <w:rFonts w:hint="eastAsia"/>
          <w:lang w:val="en-US" w:eastAsia="zh-CN"/>
        </w:rPr>
        <w:t>第二临床医学院</w:t>
      </w:r>
    </w:p>
    <w:p w14:paraId="7FF70F16">
      <w:pPr>
        <w:jc w:val="right"/>
        <w:rPr>
          <w:rFonts w:hint="eastAsia"/>
          <w:lang w:val="en-US" w:eastAsia="zh-CN"/>
        </w:rPr>
      </w:pPr>
      <w:r>
        <w:rPr>
          <w:rFonts w:hint="eastAsia"/>
          <w:lang w:val="en-US" w:eastAsia="zh-CN"/>
        </w:rPr>
        <w:t>研究生管理科</w:t>
      </w:r>
    </w:p>
    <w:p w14:paraId="611834BC">
      <w:pPr>
        <w:jc w:val="right"/>
        <w:rPr>
          <w:rFonts w:hint="default"/>
          <w:lang w:val="en-US" w:eastAsia="zh-CN"/>
        </w:rPr>
      </w:pPr>
      <w:r>
        <w:rPr>
          <w:rFonts w:hint="eastAsia"/>
          <w:lang w:val="en-US" w:eastAsia="zh-CN"/>
        </w:rPr>
        <w:t>2024年9月24日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1NjQyNzE0YzUwNzBiODliZDhlNWEyYzYyM2NhZjYifQ=="/>
  </w:docVars>
  <w:rsids>
    <w:rsidRoot w:val="00000000"/>
    <w:rsid w:val="21983D0A"/>
    <w:rsid w:val="56EF7CA9"/>
    <w:rsid w:val="5D804758"/>
    <w:rsid w:val="73FDC20B"/>
    <w:rsid w:val="7B417413"/>
    <w:rsid w:val="7DD25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宋体"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kern w:val="44"/>
      <w:sz w:val="3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2221</Words>
  <Characters>2374</Characters>
  <Lines>0</Lines>
  <Paragraphs>0</Paragraphs>
  <TotalTime>92</TotalTime>
  <ScaleCrop>false</ScaleCrop>
  <LinksUpToDate>false</LinksUpToDate>
  <CharactersWithSpaces>2379</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2022-08-30T19:24:00Z</dcterms:created>
  <dc:creator>LX</dc:creator>
  <cp:lastModifiedBy>echo</cp:lastModifiedBy>
  <dcterms:modified xsi:type="dcterms:W3CDTF">2024-09-24T15:01:02Z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AFF5925872394814AEBBB4AD9A534353_13</vt:lpwstr>
  </property>
</Properties>
</file>