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8B28E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19A3F439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5CEDB914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2EDDDC03">
      <w:pPr>
        <w:pStyle w:val="8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3A02AC2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148877E7">
      <w:pPr>
        <w:pStyle w:val="8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营业执照复印件；</w:t>
      </w:r>
    </w:p>
    <w:p w14:paraId="05BBE39C">
      <w:pPr>
        <w:pStyle w:val="8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法定代表人资格证明书及法人授权委托书（经办人是</w:t>
      </w:r>
      <w:r>
        <w:rPr>
          <w:rFonts w:ascii="宋体" w:hAnsi="宋体"/>
          <w:bCs/>
          <w:sz w:val="24"/>
        </w:rPr>
        <w:t>法定代表人</w:t>
      </w:r>
      <w:r>
        <w:rPr>
          <w:rFonts w:hint="eastAsia" w:ascii="宋体" w:hAnsi="宋体"/>
          <w:bCs/>
          <w:sz w:val="24"/>
        </w:rPr>
        <w:t>的，</w:t>
      </w:r>
      <w:r>
        <w:rPr>
          <w:rFonts w:ascii="宋体" w:hAnsi="宋体"/>
          <w:bCs/>
          <w:sz w:val="24"/>
        </w:rPr>
        <w:t>不需提供此书</w:t>
      </w:r>
      <w:r>
        <w:rPr>
          <w:rFonts w:hint="eastAsia" w:ascii="宋体" w:hAnsi="宋体"/>
          <w:bCs/>
          <w:sz w:val="24"/>
        </w:rPr>
        <w:t>）；</w:t>
      </w:r>
    </w:p>
    <w:p w14:paraId="429346EF">
      <w:pPr>
        <w:pStyle w:val="8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投标人必须具备绿化养护业务(含绿化补种)的能力，具有绿化养护服务企业资质证书。</w:t>
      </w:r>
    </w:p>
    <w:p w14:paraId="7766C1D7">
      <w:pPr>
        <w:spacing w:line="360" w:lineRule="auto"/>
        <w:ind w:firstLine="420" w:firstLineChars="0"/>
        <w:jc w:val="left"/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④ 投标报价单，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报价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包含本次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种植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所需的一切费用，包括但不限于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植株费用、种植费、养护费、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工具费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税费等。</w:t>
      </w:r>
    </w:p>
    <w:p w14:paraId="4052EA55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 xml:space="preserve">⑤ </w:t>
      </w:r>
      <w:r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投标人针对报价需要说明的其他文件和说明（如有）。</w:t>
      </w:r>
    </w:p>
    <w:p w14:paraId="566A342C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26070765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47AED6B5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6E0A4F82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</w:p>
    <w:p w14:paraId="793849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温州医科大学附属第二医院龙湾院区（温州大道东段1111号）</w:t>
      </w:r>
    </w:p>
    <w:p w14:paraId="70CBB9AD"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</w:p>
    <w:p w14:paraId="1ED27146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：一年；自接到采购人中标通知后7个工作日内开始动工，15个工作日内完成。</w:t>
      </w:r>
    </w:p>
    <w:p w14:paraId="77B0E1D4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</w:p>
    <w:p w14:paraId="544EC001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6"/>
        <w:tblpPr w:leftFromText="180" w:rightFromText="180" w:vertAnchor="text" w:horzAnchor="page" w:tblpX="511" w:tblpY="456"/>
        <w:tblOverlap w:val="never"/>
        <w:tblW w:w="11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79"/>
        <w:gridCol w:w="2776"/>
        <w:gridCol w:w="1167"/>
        <w:gridCol w:w="612"/>
        <w:gridCol w:w="1013"/>
        <w:gridCol w:w="1000"/>
        <w:gridCol w:w="987"/>
        <w:gridCol w:w="2036"/>
      </w:tblGrid>
      <w:tr w14:paraId="0A33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0" w:type="dxa"/>
            <w:vAlign w:val="center"/>
          </w:tcPr>
          <w:p w14:paraId="20D5BD6E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779" w:type="dxa"/>
            <w:vAlign w:val="center"/>
          </w:tcPr>
          <w:p w14:paraId="4B25CF18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2776" w:type="dxa"/>
            <w:vAlign w:val="center"/>
          </w:tcPr>
          <w:p w14:paraId="60C9FDC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规格</w:t>
            </w:r>
          </w:p>
        </w:tc>
        <w:tc>
          <w:tcPr>
            <w:tcW w:w="1167" w:type="dxa"/>
            <w:vAlign w:val="center"/>
          </w:tcPr>
          <w:p w14:paraId="0451DF3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品种</w:t>
            </w:r>
          </w:p>
        </w:tc>
        <w:tc>
          <w:tcPr>
            <w:tcW w:w="612" w:type="dxa"/>
            <w:vAlign w:val="center"/>
          </w:tcPr>
          <w:p w14:paraId="4B82B6E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013" w:type="dxa"/>
            <w:vAlign w:val="center"/>
          </w:tcPr>
          <w:p w14:paraId="119978D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1000" w:type="dxa"/>
            <w:vAlign w:val="center"/>
          </w:tcPr>
          <w:p w14:paraId="3BF8836C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预算单价（元）</w:t>
            </w:r>
          </w:p>
        </w:tc>
        <w:tc>
          <w:tcPr>
            <w:tcW w:w="987" w:type="dxa"/>
            <w:vAlign w:val="center"/>
          </w:tcPr>
          <w:p w14:paraId="1D9CD7AF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总价（元）</w:t>
            </w:r>
          </w:p>
        </w:tc>
        <w:tc>
          <w:tcPr>
            <w:tcW w:w="2036" w:type="dxa"/>
            <w:vAlign w:val="center"/>
          </w:tcPr>
          <w:p w14:paraId="72C57F9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备注（种植地点）</w:t>
            </w:r>
          </w:p>
        </w:tc>
      </w:tr>
      <w:tr w14:paraId="0ADD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90" w:type="dxa"/>
            <w:vAlign w:val="center"/>
          </w:tcPr>
          <w:p w14:paraId="6431EF2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79" w:type="dxa"/>
            <w:vAlign w:val="center"/>
          </w:tcPr>
          <w:p w14:paraId="3867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</w:t>
            </w:r>
          </w:p>
        </w:tc>
        <w:tc>
          <w:tcPr>
            <w:tcW w:w="2776" w:type="dxa"/>
            <w:vAlign w:val="center"/>
          </w:tcPr>
          <w:p w14:paraId="79E06678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H120mm以上，P50mm以上 枝条密实，花形饱满，不脱脚</w:t>
            </w:r>
          </w:p>
        </w:tc>
        <w:tc>
          <w:tcPr>
            <w:tcW w:w="1167" w:type="dxa"/>
            <w:vAlign w:val="center"/>
          </w:tcPr>
          <w:p w14:paraId="20514F0D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硫华菊</w:t>
            </w:r>
          </w:p>
        </w:tc>
        <w:tc>
          <w:tcPr>
            <w:tcW w:w="612" w:type="dxa"/>
            <w:vAlign w:val="center"/>
          </w:tcPr>
          <w:p w14:paraId="6AC548A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13" w:type="dxa"/>
            <w:vAlign w:val="center"/>
          </w:tcPr>
          <w:p w14:paraId="461C7DD4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00" w:type="dxa"/>
            <w:vAlign w:val="center"/>
          </w:tcPr>
          <w:p w14:paraId="758C1E1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87" w:type="dxa"/>
            <w:vAlign w:val="center"/>
          </w:tcPr>
          <w:p w14:paraId="01EF3CA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2036" w:type="dxa"/>
            <w:vMerge w:val="restart"/>
            <w:vAlign w:val="center"/>
          </w:tcPr>
          <w:p w14:paraId="386E6149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南门国旗下花坛</w:t>
            </w:r>
          </w:p>
        </w:tc>
      </w:tr>
      <w:tr w14:paraId="6FE5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90" w:type="dxa"/>
            <w:vAlign w:val="center"/>
          </w:tcPr>
          <w:p w14:paraId="2B04615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79" w:type="dxa"/>
            <w:vAlign w:val="center"/>
          </w:tcPr>
          <w:p w14:paraId="0E1A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</w:t>
            </w:r>
          </w:p>
        </w:tc>
        <w:tc>
          <w:tcPr>
            <w:tcW w:w="2776" w:type="dxa"/>
            <w:vAlign w:val="center"/>
          </w:tcPr>
          <w:p w14:paraId="5021CA3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H120mm以上，P50mm以上 枝条密实，花形饱满，不脱脚</w:t>
            </w:r>
          </w:p>
        </w:tc>
        <w:tc>
          <w:tcPr>
            <w:tcW w:w="1167" w:type="dxa"/>
            <w:vAlign w:val="center"/>
          </w:tcPr>
          <w:p w14:paraId="4D0ECD6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向日葵</w:t>
            </w:r>
          </w:p>
        </w:tc>
        <w:tc>
          <w:tcPr>
            <w:tcW w:w="612" w:type="dxa"/>
            <w:vAlign w:val="center"/>
          </w:tcPr>
          <w:p w14:paraId="739C0BC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13" w:type="dxa"/>
            <w:vAlign w:val="center"/>
          </w:tcPr>
          <w:p w14:paraId="38ED7F1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00" w:type="dxa"/>
            <w:vAlign w:val="center"/>
          </w:tcPr>
          <w:p w14:paraId="26947A81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87" w:type="dxa"/>
            <w:vAlign w:val="center"/>
          </w:tcPr>
          <w:p w14:paraId="2CFD773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2036" w:type="dxa"/>
            <w:vMerge w:val="continue"/>
            <w:vAlign w:val="center"/>
          </w:tcPr>
          <w:p w14:paraId="62D9E84D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7D8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690" w:type="dxa"/>
            <w:vAlign w:val="center"/>
          </w:tcPr>
          <w:p w14:paraId="7622ACD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79" w:type="dxa"/>
            <w:vAlign w:val="center"/>
          </w:tcPr>
          <w:p w14:paraId="7CAF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</w:t>
            </w:r>
          </w:p>
        </w:tc>
        <w:tc>
          <w:tcPr>
            <w:tcW w:w="2776" w:type="dxa"/>
            <w:vAlign w:val="center"/>
          </w:tcPr>
          <w:p w14:paraId="067B0269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H120mm以上，P50mm以上 枝条密实，花形饱满，不脱脚</w:t>
            </w:r>
          </w:p>
        </w:tc>
        <w:tc>
          <w:tcPr>
            <w:tcW w:w="1167" w:type="dxa"/>
            <w:vAlign w:val="center"/>
          </w:tcPr>
          <w:p w14:paraId="389A45CE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波斯菊</w:t>
            </w:r>
          </w:p>
        </w:tc>
        <w:tc>
          <w:tcPr>
            <w:tcW w:w="612" w:type="dxa"/>
            <w:vAlign w:val="center"/>
          </w:tcPr>
          <w:p w14:paraId="4B11AC7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13" w:type="dxa"/>
            <w:vAlign w:val="center"/>
          </w:tcPr>
          <w:p w14:paraId="6A4EC018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00" w:type="dxa"/>
            <w:vAlign w:val="center"/>
          </w:tcPr>
          <w:p w14:paraId="2B948826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87" w:type="dxa"/>
            <w:vAlign w:val="center"/>
          </w:tcPr>
          <w:p w14:paraId="3644D6D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2036" w:type="dxa"/>
            <w:vMerge w:val="continue"/>
            <w:vAlign w:val="center"/>
          </w:tcPr>
          <w:p w14:paraId="4F6559E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D6C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90" w:type="dxa"/>
            <w:vAlign w:val="center"/>
          </w:tcPr>
          <w:p w14:paraId="43E78C8B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79" w:type="dxa"/>
            <w:vAlign w:val="center"/>
          </w:tcPr>
          <w:p w14:paraId="2438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</w:t>
            </w:r>
          </w:p>
        </w:tc>
        <w:tc>
          <w:tcPr>
            <w:tcW w:w="2776" w:type="dxa"/>
            <w:vAlign w:val="center"/>
          </w:tcPr>
          <w:p w14:paraId="6662D06B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H120mm以上，P50mm以上 枝条密实，花形饱满，不脱脚</w:t>
            </w:r>
          </w:p>
        </w:tc>
        <w:tc>
          <w:tcPr>
            <w:tcW w:w="1167" w:type="dxa"/>
            <w:vAlign w:val="center"/>
          </w:tcPr>
          <w:p w14:paraId="5CE79CAF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石竹</w:t>
            </w:r>
          </w:p>
        </w:tc>
        <w:tc>
          <w:tcPr>
            <w:tcW w:w="612" w:type="dxa"/>
            <w:vAlign w:val="center"/>
          </w:tcPr>
          <w:p w14:paraId="0350744D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13" w:type="dxa"/>
            <w:vAlign w:val="center"/>
          </w:tcPr>
          <w:p w14:paraId="1A7E58A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00" w:type="dxa"/>
            <w:vAlign w:val="center"/>
          </w:tcPr>
          <w:p w14:paraId="5BCF4FE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87" w:type="dxa"/>
            <w:vAlign w:val="center"/>
          </w:tcPr>
          <w:p w14:paraId="11C509B0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2036" w:type="dxa"/>
            <w:vMerge w:val="continue"/>
            <w:vAlign w:val="center"/>
          </w:tcPr>
          <w:p w14:paraId="15202E3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736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0FDE66AC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47" w:type="dxa"/>
            <w:gridSpan w:val="6"/>
            <w:vAlign w:val="center"/>
          </w:tcPr>
          <w:p w14:paraId="7C15D68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987" w:type="dxa"/>
            <w:vAlign w:val="center"/>
          </w:tcPr>
          <w:p w14:paraId="295B7E3C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16000</w:t>
            </w:r>
          </w:p>
        </w:tc>
        <w:tc>
          <w:tcPr>
            <w:tcW w:w="2036" w:type="dxa"/>
            <w:vAlign w:val="center"/>
          </w:tcPr>
          <w:p w14:paraId="4CDF0C1C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A3E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9"/>
            <w:vAlign w:val="center"/>
          </w:tcPr>
          <w:p w14:paraId="63322440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▲注1：各分项报价不能高于各预算单价。</w:t>
            </w:r>
          </w:p>
          <w:p w14:paraId="3C8ACFE3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注2：服务过程中若出现相应植株死亡等情况，供应商应无条件免费补种。</w:t>
            </w:r>
          </w:p>
          <w:p w14:paraId="59549555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注3：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报价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包含本次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种植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所需的一切费用，包括但不限于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植株费用、种植费、养护费、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工具费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税费等。</w:t>
            </w:r>
          </w:p>
        </w:tc>
      </w:tr>
    </w:tbl>
    <w:p w14:paraId="54FD9DDB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default"/>
          <w:b/>
          <w:bCs/>
          <w:sz w:val="24"/>
          <w:highlight w:val="none"/>
          <w:lang w:val="en-US" w:eastAsia="zh-CN"/>
        </w:rPr>
      </w:pPr>
    </w:p>
    <w:p w14:paraId="07DAF275">
      <w:pPr>
        <w:spacing w:line="360" w:lineRule="auto"/>
        <w:rPr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费用结算：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服务到期后并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开具对应数额的符合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财务要求的正式发票后，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在审批完成后7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个工作日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内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付款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。</w:t>
      </w:r>
    </w:p>
    <w:p w14:paraId="1ED31711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义务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</w:t>
      </w:r>
    </w:p>
    <w:p w14:paraId="7248AD3F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需为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履行本合同约定服务提供相应的配合，派人员协助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进行工作。</w:t>
      </w:r>
    </w:p>
    <w:p w14:paraId="0BC87495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应按合同约定向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支付服务费用。</w:t>
      </w:r>
    </w:p>
    <w:p w14:paraId="0BDB7634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义务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</w:t>
      </w:r>
    </w:p>
    <w:p w14:paraId="1ED70B60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.1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应在约定的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期内完成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，如遇特殊情况无法完成的，应及时通知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，双方协商一致后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确定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期。</w:t>
      </w:r>
    </w:p>
    <w:p w14:paraId="62214F44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Cs/>
          <w:strike/>
          <w:dstrike w:val="0"/>
          <w:kern w:val="2"/>
          <w:sz w:val="24"/>
          <w:szCs w:val="24"/>
          <w:shd w:val="clear" w:color="auto" w:fill="auto"/>
          <w:lang w:bidi="ar-SA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.2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在进行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美化绿化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工作时应遵守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，如有争议应通知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相关人员解决，不得与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及第三方工作人员发生冲突。</w:t>
      </w:r>
    </w:p>
    <w:p w14:paraId="034680DC">
      <w:pPr>
        <w:numPr>
          <w:ilvl w:val="0"/>
          <w:numId w:val="0"/>
        </w:numPr>
        <w:tabs>
          <w:tab w:val="left" w:pos="142"/>
        </w:tabs>
        <w:spacing w:line="360" w:lineRule="auto"/>
        <w:ind w:firstLine="240" w:firstLineChars="100"/>
        <w:rPr>
          <w:rFonts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  <w:lang w:val="en-US" w:eastAsia="zh-CN"/>
        </w:rPr>
        <w:t>.3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美化绿化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过程中应注重安全文明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  <w:lang w:val="en-US" w:eastAsia="zh-CN"/>
        </w:rPr>
        <w:t>服务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，如因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原因导致其自身、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采购人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、第三方人身、财产损失的，由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承担所有责任。</w:t>
      </w:r>
    </w:p>
    <w:p w14:paraId="67CBB263">
      <w:pPr>
        <w:autoSpaceDE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违约责任</w:t>
      </w:r>
    </w:p>
    <w:p w14:paraId="330FC5E2">
      <w:pPr>
        <w:pStyle w:val="8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.1</w:t>
      </w:r>
      <w:r>
        <w:rPr>
          <w:rFonts w:hint="eastAsia" w:ascii="宋体" w:hAnsi="宋体" w:eastAsia="宋体" w:cs="宋体"/>
          <w:sz w:val="24"/>
          <w:szCs w:val="24"/>
        </w:rPr>
        <w:t>除不可抗力因素外，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有下列情形之一的，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有权解除合同，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按照合同总金额的5%支付违约金，若违约金不足以抵付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损失的，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还应根据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实际经济损失补足差额。</w:t>
      </w:r>
    </w:p>
    <w:p w14:paraId="78B8BBD6">
      <w:pPr>
        <w:pStyle w:val="8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（1）拒绝履行合同义务，擅自解除合同的；</w:t>
      </w:r>
    </w:p>
    <w:p w14:paraId="79FA7389">
      <w:pPr>
        <w:pStyle w:val="8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因自身经营原因，无法继续履行合同，要求终止合同；</w:t>
      </w:r>
    </w:p>
    <w:p w14:paraId="540EC9A9">
      <w:pPr>
        <w:pStyle w:val="8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因经营服务无法达到招标响应技术要求或服务无法达到约定标准的，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有权要求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限期整改，逾期未整改或整改后仍未达到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要求的，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为完成整改要求而产生的支出费用由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承担。</w:t>
      </w:r>
    </w:p>
    <w:p w14:paraId="2DBAFF63">
      <w:pPr>
        <w:pStyle w:val="8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（4）未经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同意，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转包、分包合同事务，在承包区域内从事未经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认可的承包工作。</w:t>
      </w:r>
    </w:p>
    <w:p w14:paraId="7ED8D41D">
      <w:pPr>
        <w:pStyle w:val="8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出现重大管理不到位（如已影响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公众形象、声誉的），有多次投诉而得不到纠正的。</w:t>
      </w:r>
    </w:p>
    <w:p w14:paraId="2785BFD7">
      <w:pPr>
        <w:pStyle w:val="8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（6）合同约定的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可以解除合同的其他情形。</w:t>
      </w:r>
    </w:p>
    <w:p w14:paraId="3508DB11">
      <w:pPr>
        <w:autoSpaceDE w:val="0"/>
        <w:spacing w:line="360" w:lineRule="auto"/>
        <w:ind w:firstLine="420" w:firstLineChars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因不可抗力因素造成本合同无法执行，任意一方可终止本合同，无需做出任何赔偿。经双方协商同意可终止部分或全部合同的，无须承担违约责任。</w:t>
      </w:r>
    </w:p>
    <w:p w14:paraId="64A2F6A3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6E916EA1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098A16A8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6282A37B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46E39FC9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3ECC5B01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3C4ACC7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71176B57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43CC167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5B9125F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龙湾院区美化绿化服务报价单</w:t>
      </w:r>
    </w:p>
    <w:p w14:paraId="40F97E33">
      <w:pPr>
        <w:numPr>
          <w:ilvl w:val="-1"/>
          <w:numId w:val="0"/>
        </w:numPr>
        <w:spacing w:line="360" w:lineRule="auto"/>
        <w:ind w:left="0" w:leftChars="0" w:firstLine="0" w:firstLineChars="0"/>
        <w:jc w:val="center"/>
        <w:rPr>
          <w:rFonts w:hint="default"/>
          <w:b/>
          <w:bCs/>
          <w:sz w:val="32"/>
          <w:szCs w:val="32"/>
          <w:highlight w:val="none"/>
          <w:lang w:val="en-US" w:eastAsia="zh-CN"/>
        </w:rPr>
      </w:pPr>
    </w:p>
    <w:tbl>
      <w:tblPr>
        <w:tblStyle w:val="6"/>
        <w:tblW w:w="11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09"/>
        <w:gridCol w:w="2746"/>
        <w:gridCol w:w="997"/>
        <w:gridCol w:w="996"/>
        <w:gridCol w:w="1009"/>
        <w:gridCol w:w="1040"/>
        <w:gridCol w:w="1012"/>
        <w:gridCol w:w="1761"/>
      </w:tblGrid>
      <w:tr w14:paraId="6D28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76E1437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809" w:type="dxa"/>
            <w:vAlign w:val="center"/>
          </w:tcPr>
          <w:p w14:paraId="6F65F7D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时间</w:t>
            </w:r>
          </w:p>
        </w:tc>
        <w:tc>
          <w:tcPr>
            <w:tcW w:w="2746" w:type="dxa"/>
            <w:vAlign w:val="center"/>
          </w:tcPr>
          <w:p w14:paraId="6F5ADAF2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规格</w:t>
            </w:r>
          </w:p>
        </w:tc>
        <w:tc>
          <w:tcPr>
            <w:tcW w:w="997" w:type="dxa"/>
            <w:vAlign w:val="center"/>
          </w:tcPr>
          <w:p w14:paraId="1883FDA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品种</w:t>
            </w:r>
          </w:p>
        </w:tc>
        <w:tc>
          <w:tcPr>
            <w:tcW w:w="996" w:type="dxa"/>
            <w:vAlign w:val="center"/>
          </w:tcPr>
          <w:p w14:paraId="396788F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009" w:type="dxa"/>
            <w:vAlign w:val="center"/>
          </w:tcPr>
          <w:p w14:paraId="452001AD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1040" w:type="dxa"/>
            <w:vAlign w:val="center"/>
          </w:tcPr>
          <w:p w14:paraId="482619CD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</w:tc>
        <w:tc>
          <w:tcPr>
            <w:tcW w:w="1012" w:type="dxa"/>
            <w:vAlign w:val="center"/>
          </w:tcPr>
          <w:p w14:paraId="380FCA4C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总价（元）</w:t>
            </w:r>
          </w:p>
        </w:tc>
        <w:tc>
          <w:tcPr>
            <w:tcW w:w="1761" w:type="dxa"/>
            <w:vAlign w:val="center"/>
          </w:tcPr>
          <w:p w14:paraId="3C837EA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备注（种植地点）</w:t>
            </w:r>
          </w:p>
        </w:tc>
      </w:tr>
      <w:tr w14:paraId="6897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690" w:type="dxa"/>
            <w:vAlign w:val="center"/>
          </w:tcPr>
          <w:p w14:paraId="77225C3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09" w:type="dxa"/>
            <w:vAlign w:val="center"/>
          </w:tcPr>
          <w:p w14:paraId="1EA6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</w:t>
            </w:r>
          </w:p>
        </w:tc>
        <w:tc>
          <w:tcPr>
            <w:tcW w:w="2746" w:type="dxa"/>
            <w:vAlign w:val="center"/>
          </w:tcPr>
          <w:p w14:paraId="6CF101B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H120mm以上，P50mm以上 枝条密实，花形饱满，不脱脚</w:t>
            </w:r>
          </w:p>
        </w:tc>
        <w:tc>
          <w:tcPr>
            <w:tcW w:w="997" w:type="dxa"/>
            <w:vAlign w:val="center"/>
          </w:tcPr>
          <w:p w14:paraId="018594D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硫华菊</w:t>
            </w:r>
          </w:p>
        </w:tc>
        <w:tc>
          <w:tcPr>
            <w:tcW w:w="996" w:type="dxa"/>
            <w:vAlign w:val="center"/>
          </w:tcPr>
          <w:p w14:paraId="1CC42F0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09" w:type="dxa"/>
            <w:vAlign w:val="center"/>
          </w:tcPr>
          <w:p w14:paraId="6D8D997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40" w:type="dxa"/>
            <w:vAlign w:val="center"/>
          </w:tcPr>
          <w:p w14:paraId="537A931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431C749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61" w:type="dxa"/>
            <w:vMerge w:val="restart"/>
            <w:vAlign w:val="center"/>
          </w:tcPr>
          <w:p w14:paraId="1EF8850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南门国旗下花坛</w:t>
            </w:r>
          </w:p>
        </w:tc>
      </w:tr>
      <w:tr w14:paraId="7F54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690" w:type="dxa"/>
            <w:vAlign w:val="center"/>
          </w:tcPr>
          <w:p w14:paraId="0BBCE63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09" w:type="dxa"/>
            <w:vAlign w:val="center"/>
          </w:tcPr>
          <w:p w14:paraId="4E77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</w:t>
            </w:r>
          </w:p>
        </w:tc>
        <w:tc>
          <w:tcPr>
            <w:tcW w:w="2746" w:type="dxa"/>
            <w:vAlign w:val="center"/>
          </w:tcPr>
          <w:p w14:paraId="2EB1D995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H120mm以上，P50mm以上 枝条密实，花形饱满，不脱脚</w:t>
            </w:r>
          </w:p>
        </w:tc>
        <w:tc>
          <w:tcPr>
            <w:tcW w:w="997" w:type="dxa"/>
            <w:vAlign w:val="center"/>
          </w:tcPr>
          <w:p w14:paraId="568C822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向日葵</w:t>
            </w:r>
          </w:p>
        </w:tc>
        <w:tc>
          <w:tcPr>
            <w:tcW w:w="996" w:type="dxa"/>
            <w:vAlign w:val="center"/>
          </w:tcPr>
          <w:p w14:paraId="6348382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09" w:type="dxa"/>
            <w:vAlign w:val="center"/>
          </w:tcPr>
          <w:p w14:paraId="479E6B0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40" w:type="dxa"/>
            <w:vAlign w:val="center"/>
          </w:tcPr>
          <w:p w14:paraId="67C59A6F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7B41203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1F88917E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8CD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690" w:type="dxa"/>
            <w:vAlign w:val="center"/>
          </w:tcPr>
          <w:p w14:paraId="21275E39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09" w:type="dxa"/>
            <w:vAlign w:val="center"/>
          </w:tcPr>
          <w:p w14:paraId="1E3C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</w:t>
            </w:r>
          </w:p>
        </w:tc>
        <w:tc>
          <w:tcPr>
            <w:tcW w:w="2746" w:type="dxa"/>
            <w:vAlign w:val="center"/>
          </w:tcPr>
          <w:p w14:paraId="5CEFFE96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H120mm以上，P50mm以上 枝条密实，花形饱满，不脱脚</w:t>
            </w:r>
          </w:p>
        </w:tc>
        <w:tc>
          <w:tcPr>
            <w:tcW w:w="997" w:type="dxa"/>
            <w:vAlign w:val="center"/>
          </w:tcPr>
          <w:p w14:paraId="14D61D08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波斯菊</w:t>
            </w:r>
          </w:p>
        </w:tc>
        <w:tc>
          <w:tcPr>
            <w:tcW w:w="996" w:type="dxa"/>
            <w:vAlign w:val="center"/>
          </w:tcPr>
          <w:p w14:paraId="7388AD08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09" w:type="dxa"/>
            <w:vAlign w:val="center"/>
          </w:tcPr>
          <w:p w14:paraId="15C67379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40" w:type="dxa"/>
            <w:vAlign w:val="center"/>
          </w:tcPr>
          <w:p w14:paraId="3BA2E830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42433D29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76D264A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E06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690" w:type="dxa"/>
            <w:vAlign w:val="center"/>
          </w:tcPr>
          <w:p w14:paraId="51E25F7E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09" w:type="dxa"/>
            <w:vAlign w:val="center"/>
          </w:tcPr>
          <w:p w14:paraId="7078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</w:t>
            </w:r>
          </w:p>
        </w:tc>
        <w:tc>
          <w:tcPr>
            <w:tcW w:w="2746" w:type="dxa"/>
            <w:vAlign w:val="center"/>
          </w:tcPr>
          <w:p w14:paraId="4BB23215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H120mm以上，P50mm以上 枝条密实，花形饱满，不脱脚</w:t>
            </w:r>
          </w:p>
        </w:tc>
        <w:tc>
          <w:tcPr>
            <w:tcW w:w="997" w:type="dxa"/>
            <w:vAlign w:val="center"/>
          </w:tcPr>
          <w:p w14:paraId="7027497F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石竹</w:t>
            </w:r>
          </w:p>
        </w:tc>
        <w:tc>
          <w:tcPr>
            <w:tcW w:w="996" w:type="dxa"/>
            <w:vAlign w:val="center"/>
          </w:tcPr>
          <w:p w14:paraId="47232798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1009" w:type="dxa"/>
            <w:vAlign w:val="center"/>
          </w:tcPr>
          <w:p w14:paraId="1219479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040" w:type="dxa"/>
            <w:vAlign w:val="center"/>
          </w:tcPr>
          <w:p w14:paraId="4C97381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100DEE8C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61" w:type="dxa"/>
            <w:vMerge w:val="continue"/>
            <w:vAlign w:val="center"/>
          </w:tcPr>
          <w:p w14:paraId="19CC1B68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bookmarkEnd w:id="0"/>
      <w:tr w14:paraId="3526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 w14:paraId="5A5FFD2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597" w:type="dxa"/>
            <w:gridSpan w:val="6"/>
            <w:vAlign w:val="center"/>
          </w:tcPr>
          <w:p w14:paraId="12F4886E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012" w:type="dxa"/>
            <w:vAlign w:val="center"/>
          </w:tcPr>
          <w:p w14:paraId="041C4DB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 w14:paraId="5333BB4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1AE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0" w:type="dxa"/>
            <w:gridSpan w:val="9"/>
            <w:vAlign w:val="center"/>
          </w:tcPr>
          <w:p w14:paraId="61E24BC4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▲注1：各分项报价不能高于各预算单价。</w:t>
            </w:r>
          </w:p>
          <w:p w14:paraId="4E90CB84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注2：服务过程中若出现相应植株死亡等情况，供应商应无条件免费补种。</w:t>
            </w:r>
          </w:p>
          <w:p w14:paraId="3432985C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注3：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报价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包含本次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种植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所需的一切费用，包括但不限于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植株费用、种植费、养护费、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工具费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税费等。</w:t>
            </w:r>
          </w:p>
        </w:tc>
      </w:tr>
    </w:tbl>
    <w:p w14:paraId="34BD6F32">
      <w:pPr>
        <w:numPr>
          <w:ilvl w:val="0"/>
          <w:numId w:val="0"/>
        </w:numPr>
        <w:wordWrap w:val="0"/>
        <w:spacing w:line="360" w:lineRule="auto"/>
        <w:ind w:leftChars="0"/>
        <w:jc w:val="both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 w14:paraId="22B111EC">
      <w:pPr>
        <w:numPr>
          <w:ilvl w:val="0"/>
          <w:numId w:val="0"/>
        </w:numPr>
        <w:wordWrap w:val="0"/>
        <w:spacing w:line="360" w:lineRule="auto"/>
        <w:ind w:leftChars="0"/>
        <w:jc w:val="right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报价单位：                </w:t>
      </w:r>
    </w:p>
    <w:p w14:paraId="706C5278">
      <w:pPr>
        <w:numPr>
          <w:ilvl w:val="0"/>
          <w:numId w:val="0"/>
        </w:numPr>
        <w:wordWrap w:val="0"/>
        <w:spacing w:line="360" w:lineRule="auto"/>
        <w:ind w:leftChars="0" w:firstLine="1280" w:firstLineChars="400"/>
        <w:jc w:val="center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         （盖章）          </w:t>
      </w:r>
    </w:p>
    <w:p w14:paraId="493702D0">
      <w:pPr>
        <w:numPr>
          <w:ilvl w:val="0"/>
          <w:numId w:val="0"/>
        </w:numPr>
        <w:spacing w:line="360" w:lineRule="auto"/>
        <w:ind w:firstLine="4160" w:firstLineChars="1300"/>
        <w:jc w:val="both"/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时    间：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8EC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1440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1440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719975EC"/>
    <w:rsid w:val="17A80401"/>
    <w:rsid w:val="1B351FAC"/>
    <w:rsid w:val="1B5E08D6"/>
    <w:rsid w:val="1C03400A"/>
    <w:rsid w:val="22D05A6C"/>
    <w:rsid w:val="23254599"/>
    <w:rsid w:val="25360362"/>
    <w:rsid w:val="28883484"/>
    <w:rsid w:val="2A79255B"/>
    <w:rsid w:val="2B5577B7"/>
    <w:rsid w:val="32767059"/>
    <w:rsid w:val="3A712684"/>
    <w:rsid w:val="3EB14B59"/>
    <w:rsid w:val="43A84B07"/>
    <w:rsid w:val="44322AEE"/>
    <w:rsid w:val="45CA3AB8"/>
    <w:rsid w:val="49363FBB"/>
    <w:rsid w:val="495B436F"/>
    <w:rsid w:val="5196714E"/>
    <w:rsid w:val="57E002A2"/>
    <w:rsid w:val="5B4A6C51"/>
    <w:rsid w:val="604D1DE8"/>
    <w:rsid w:val="610B4A82"/>
    <w:rsid w:val="653103E3"/>
    <w:rsid w:val="69741ED2"/>
    <w:rsid w:val="6D1000FF"/>
    <w:rsid w:val="719975EC"/>
    <w:rsid w:val="71C13D9C"/>
    <w:rsid w:val="7E0B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1625</Words>
  <Characters>1725</Characters>
  <Lines>0</Lines>
  <Paragraphs>0</Paragraphs>
  <TotalTime>0</TotalTime>
  <ScaleCrop>false</ScaleCrop>
  <LinksUpToDate>false</LinksUpToDate>
  <CharactersWithSpaces>1795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郑听</cp:lastModifiedBy>
  <dcterms:modified xsi:type="dcterms:W3CDTF">2024-09-03T03:32:56Z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C6DDDC5D37A64004AB26B7C1B410124A_13</vt:lpwstr>
  </property>
</Properties>
</file>