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>
      <w:pPr>
        <w:pStyle w:val="7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供应商三证复印件（企业组织机构代码、税务登记证、营业执照复印件）</w:t>
      </w:r>
    </w:p>
    <w:p>
      <w:pPr>
        <w:pStyle w:val="7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投标报价（</w:t>
      </w:r>
      <w:r>
        <w:rPr>
          <w:rFonts w:hint="eastAsia"/>
          <w:b/>
          <w:bCs/>
          <w:sz w:val="24"/>
          <w:szCs w:val="32"/>
        </w:rPr>
        <w:t>加盖单位公章</w:t>
      </w:r>
      <w:r>
        <w:rPr>
          <w:rFonts w:hint="eastAsia" w:ascii="宋体" w:hAnsi="宋体"/>
          <w:bCs/>
          <w:sz w:val="24"/>
          <w:lang w:val="en-US" w:eastAsia="zh-CN"/>
        </w:rPr>
        <w:t>），</w:t>
      </w:r>
      <w:r>
        <w:rPr>
          <w:rFonts w:hint="eastAsia" w:ascii="宋体" w:hAnsi="宋体"/>
          <w:bCs/>
          <w:sz w:val="24"/>
        </w:rPr>
        <w:t>本次报价单价以综合单价投标，包含货物到达医院指定位置并能正常使用所需的一切费用，包括但不限于包装费、运输费、装卸费、税费、售后等。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温州医科大学附属第二医院龙湾康复医学中心（温州大道188号）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：下单后7个工作日完成产品提供。</w:t>
      </w:r>
    </w:p>
    <w:p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4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50"/>
        <w:gridCol w:w="780"/>
        <w:gridCol w:w="795"/>
        <w:gridCol w:w="1275"/>
        <w:gridCol w:w="11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龙湾康复医学中心特灵空调配件采购预算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启动模块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特灵1A3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配件需要即插即用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特灵SEN02133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配件需要即插即用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预算总金额：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陆仟伍佰元整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eastAsia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项目完成后开具全额发票后审批完成后7个工作日内付款。</w:t>
      </w: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spacing w:line="360" w:lineRule="auto"/>
        <w:rPr>
          <w:b/>
          <w:bCs/>
          <w:sz w:val="32"/>
          <w:szCs w:val="32"/>
          <w:highlight w:val="yellow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龙湾康复医学中心特灵空调配件采购</w:t>
      </w: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报价单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9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50"/>
        <w:gridCol w:w="780"/>
        <w:gridCol w:w="795"/>
        <w:gridCol w:w="1275"/>
        <w:gridCol w:w="114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启动模块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特灵1A3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配件需要即插即用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特灵SEN02133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配件需要即插即用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6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>、上述报价包括但不限于包装费、运输费、装卸费、调试费、税费、售后等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2、报价超出预算价格属无效报价（</w:t>
            </w:r>
            <w:r>
              <w:rPr>
                <w:rStyle w:val="10"/>
                <w:rFonts w:hint="eastAsia"/>
                <w:lang w:val="en-US" w:eastAsia="zh-CN" w:bidi="ar"/>
              </w:rPr>
              <w:t>含单项报价</w:t>
            </w:r>
            <w:r>
              <w:rPr>
                <w:rStyle w:val="10"/>
                <w:lang w:val="en-US" w:eastAsia="zh-CN" w:bidi="ar"/>
              </w:rPr>
              <w:t>）。</w:t>
            </w:r>
          </w:p>
        </w:tc>
      </w:tr>
    </w:tbl>
    <w:p>
      <w:pPr>
        <w:numPr>
          <w:ilvl w:val="0"/>
          <w:numId w:val="0"/>
        </w:numPr>
        <w:wordWrap w:val="0"/>
        <w:spacing w:line="360" w:lineRule="auto"/>
        <w:ind w:leftChars="0"/>
        <w:jc w:val="both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Chars="0" w:firstLine="5440" w:firstLineChars="1700"/>
        <w:jc w:val="left"/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报价单位： </w:t>
      </w:r>
    </w:p>
    <w:p>
      <w:pPr>
        <w:numPr>
          <w:ilvl w:val="0"/>
          <w:numId w:val="0"/>
        </w:numPr>
        <w:wordWrap w:val="0"/>
        <w:spacing w:line="360" w:lineRule="auto"/>
        <w:ind w:firstLine="5760" w:firstLineChars="1800"/>
        <w:jc w:val="left"/>
        <w:rPr>
          <w:rFonts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>（盖章）</w:t>
      </w:r>
    </w:p>
    <w:p>
      <w:pPr>
        <w:numPr>
          <w:ilvl w:val="0"/>
          <w:numId w:val="0"/>
        </w:numPr>
        <w:spacing w:line="360" w:lineRule="auto"/>
        <w:ind w:firstLine="5440" w:firstLineChars="1700"/>
        <w:jc w:val="left"/>
      </w:pPr>
      <w:r>
        <w:rPr>
          <w:rFonts w:hint="eastAsia"/>
          <w:b w:val="0"/>
          <w:bCs w:val="0"/>
          <w:sz w:val="32"/>
          <w:szCs w:val="32"/>
          <w:highlight w:val="none"/>
          <w:lang w:val="en-US" w:eastAsia="zh-CN"/>
        </w:rPr>
        <w:t xml:space="preserve">时    间：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2F1D0AB7"/>
    <w:rsid w:val="32767059"/>
    <w:rsid w:val="37AD2CA0"/>
    <w:rsid w:val="3A712684"/>
    <w:rsid w:val="3AA75922"/>
    <w:rsid w:val="49363FBB"/>
    <w:rsid w:val="495B436F"/>
    <w:rsid w:val="4B8F38AC"/>
    <w:rsid w:val="4D78603B"/>
    <w:rsid w:val="604D1DE8"/>
    <w:rsid w:val="610B4A82"/>
    <w:rsid w:val="719975EC"/>
    <w:rsid w:val="770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747</Characters>
  <Lines>0</Lines>
  <Paragraphs>0</Paragraphs>
  <TotalTime>2</TotalTime>
  <ScaleCrop>false</ScaleCrop>
  <LinksUpToDate>false</LinksUpToDate>
  <CharactersWithSpaces>759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2024-06-28T06:38:02Z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C6DDDC5D37A64004AB26B7C1B410124A_13</vt:lpwstr>
  </property>
</Properties>
</file>