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龙湾院区负压机组紧急更换</w:t>
      </w:r>
      <w:r>
        <w:rPr>
          <w:rFonts w:hint="eastAsia" w:asciiTheme="majorEastAsia" w:hAnsiTheme="majorEastAsia" w:eastAsiaTheme="majorEastAsia" w:cstheme="majorEastAsia"/>
          <w:b w:val="0"/>
          <w:bCs w:val="0"/>
          <w:sz w:val="24"/>
          <w:szCs w:val="24"/>
          <w:lang w:eastAsia="zh-CN"/>
        </w:rPr>
        <w:t>配件</w:t>
      </w:r>
      <w:r>
        <w:rPr>
          <w:rFonts w:hint="eastAsia" w:asciiTheme="majorEastAsia" w:hAnsiTheme="majorEastAsia" w:eastAsiaTheme="majorEastAsia" w:cstheme="majorEastAsia"/>
          <w:b w:val="0"/>
          <w:bCs w:val="0"/>
          <w:sz w:val="24"/>
          <w:szCs w:val="24"/>
          <w:lang w:val="en-US" w:eastAsia="zh-CN"/>
        </w:rPr>
        <w:t>询价维修</w:t>
      </w:r>
    </w:p>
    <w:p>
      <w:pPr>
        <w:keepNext w:val="0"/>
        <w:keepLines w:val="0"/>
        <w:widowControl/>
        <w:numPr>
          <w:ilvl w:val="0"/>
          <w:numId w:val="0"/>
        </w:numPr>
        <w:suppressLineNumbers w:val="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cstheme="minorEastAsia"/>
          <w:color w:val="000000"/>
          <w:kern w:val="0"/>
          <w:sz w:val="24"/>
          <w:szCs w:val="24"/>
          <w:highlight w:val="yellow"/>
          <w:lang w:val="en-US" w:eastAsia="zh-CN" w:bidi="ar"/>
        </w:rPr>
        <w:t>限价</w:t>
      </w:r>
      <w:r>
        <w:rPr>
          <w:rFonts w:hint="eastAsia" w:asciiTheme="minorEastAsia" w:hAnsiTheme="minorEastAsia" w:eastAsiaTheme="minorEastAsia" w:cstheme="minorEastAsia"/>
          <w:color w:val="000000"/>
          <w:kern w:val="0"/>
          <w:sz w:val="24"/>
          <w:szCs w:val="24"/>
          <w:highlight w:val="yellow"/>
          <w:lang w:val="en-US" w:eastAsia="zh-CN" w:bidi="ar"/>
        </w:rPr>
        <w:t>金额：</w:t>
      </w:r>
      <w:r>
        <w:rPr>
          <w:rFonts w:hint="eastAsia" w:asciiTheme="minorEastAsia" w:hAnsiTheme="minorEastAsia" w:cstheme="minorEastAsia"/>
          <w:color w:val="000000"/>
          <w:kern w:val="0"/>
          <w:sz w:val="24"/>
          <w:szCs w:val="24"/>
          <w:highlight w:val="yellow"/>
          <w:lang w:val="en-US" w:eastAsia="zh-CN" w:bidi="ar"/>
        </w:rPr>
        <w:t>2.4</w:t>
      </w:r>
      <w:r>
        <w:rPr>
          <w:rFonts w:hint="eastAsia" w:asciiTheme="minorEastAsia" w:hAnsiTheme="minorEastAsia" w:eastAsiaTheme="minorEastAsia" w:cstheme="minorEastAsia"/>
          <w:color w:val="000000"/>
          <w:kern w:val="0"/>
          <w:sz w:val="24"/>
          <w:szCs w:val="24"/>
          <w:highlight w:val="yellow"/>
          <w:lang w:val="en-US" w:eastAsia="zh-CN" w:bidi="ar"/>
        </w:rPr>
        <w:t>万</w:t>
      </w:r>
    </w:p>
    <w:p>
      <w:pPr>
        <w:pStyle w:val="2"/>
        <w:ind w:left="0" w:leftChars="0" w:firstLine="0" w:firstLineChars="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服务期：</w:t>
      </w:r>
      <w:r>
        <w:rPr>
          <w:rFonts w:hint="eastAsia" w:asciiTheme="minorEastAsia" w:hAnsiTheme="minorEastAsia" w:cstheme="minorEastAsia"/>
          <w:color w:val="000000"/>
          <w:kern w:val="0"/>
          <w:sz w:val="24"/>
          <w:szCs w:val="24"/>
          <w:highlight w:val="yellow"/>
          <w:lang w:val="en-US" w:eastAsia="zh-CN" w:bidi="ar"/>
        </w:rPr>
        <w:t>7</w:t>
      </w:r>
      <w:r>
        <w:rPr>
          <w:rFonts w:hint="eastAsia" w:asciiTheme="minorEastAsia" w:hAnsiTheme="minorEastAsia" w:eastAsiaTheme="minorEastAsia" w:cstheme="minorEastAsia"/>
          <w:color w:val="000000"/>
          <w:kern w:val="0"/>
          <w:sz w:val="24"/>
          <w:szCs w:val="24"/>
          <w:highlight w:val="yellow"/>
          <w:lang w:val="en-US" w:eastAsia="zh-CN" w:bidi="ar"/>
        </w:rPr>
        <w:t>日历天</w:t>
      </w:r>
    </w:p>
    <w:p>
      <w:pPr>
        <w:widowControl/>
        <w:numPr>
          <w:ilvl w:val="1"/>
          <w:numId w:val="1"/>
        </w:numPr>
        <w:tabs>
          <w:tab w:val="left" w:pos="142"/>
          <w:tab w:val="clear" w:pos="786"/>
        </w:tabs>
        <w:spacing w:line="360" w:lineRule="auto"/>
        <w:ind w:left="28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项目名称：</w:t>
      </w:r>
      <w:r>
        <w:rPr>
          <w:rFonts w:hint="eastAsia" w:asciiTheme="majorEastAsia" w:hAnsiTheme="majorEastAsia" w:eastAsiaTheme="majorEastAsia" w:cstheme="majorEastAsia"/>
          <w:b w:val="0"/>
          <w:bCs w:val="0"/>
          <w:sz w:val="24"/>
          <w:szCs w:val="24"/>
          <w:lang w:val="en-US" w:eastAsia="zh-CN"/>
        </w:rPr>
        <w:t>龙湾院区负压机组紧急更换配件询价维修</w:t>
      </w:r>
    </w:p>
    <w:p>
      <w:pPr>
        <w:widowControl/>
        <w:numPr>
          <w:ilvl w:val="1"/>
          <w:numId w:val="1"/>
        </w:numPr>
        <w:tabs>
          <w:tab w:val="left" w:pos="142"/>
          <w:tab w:val="clear" w:pos="786"/>
        </w:tabs>
        <w:spacing w:line="360" w:lineRule="auto"/>
        <w:ind w:left="28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项目地点：</w:t>
      </w:r>
      <w:r>
        <w:rPr>
          <w:rFonts w:hint="eastAsia" w:asciiTheme="minorEastAsia" w:hAnsiTheme="minorEastAsia" w:eastAsiaTheme="minorEastAsia" w:cstheme="minorEastAsia"/>
          <w:sz w:val="24"/>
          <w:szCs w:val="24"/>
        </w:rPr>
        <w:t>浙江省温州市龙湾区温州大道东段1111号。</w:t>
      </w:r>
    </w:p>
    <w:p>
      <w:pPr>
        <w:widowControl/>
        <w:numPr>
          <w:ilvl w:val="1"/>
          <w:numId w:val="1"/>
        </w:numPr>
        <w:tabs>
          <w:tab w:val="left" w:pos="142"/>
          <w:tab w:val="clear" w:pos="786"/>
        </w:tabs>
        <w:spacing w:line="360" w:lineRule="auto"/>
        <w:ind w:left="284"/>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更换维修</w:t>
      </w:r>
      <w:r>
        <w:rPr>
          <w:rFonts w:hint="eastAsia" w:asciiTheme="minorEastAsia" w:hAnsiTheme="minorEastAsia" w:eastAsiaTheme="minorEastAsia" w:cstheme="minorEastAsia"/>
          <w:b/>
          <w:sz w:val="24"/>
          <w:szCs w:val="24"/>
        </w:rPr>
        <w:t>内容</w:t>
      </w:r>
      <w:r>
        <w:rPr>
          <w:rFonts w:hint="eastAsia" w:asciiTheme="minorEastAsia" w:hAnsiTheme="minorEastAsia" w:eastAsiaTheme="minorEastAsia" w:cstheme="minorEastAsia"/>
          <w:b/>
          <w:sz w:val="24"/>
          <w:szCs w:val="24"/>
          <w:lang w:eastAsia="zh-CN"/>
        </w:rPr>
        <w:t>及报价</w:t>
      </w:r>
      <w:r>
        <w:rPr>
          <w:rFonts w:hint="eastAsia" w:asciiTheme="minorEastAsia" w:hAnsiTheme="minorEastAsia" w:eastAsiaTheme="minorEastAsia" w:cstheme="minorEastAsia"/>
          <w:b/>
          <w:sz w:val="24"/>
          <w:szCs w:val="24"/>
        </w:rPr>
        <w:t>：</w:t>
      </w:r>
    </w:p>
    <w:tbl>
      <w:tblPr>
        <w:tblStyle w:val="3"/>
        <w:tblW w:w="7830" w:type="dxa"/>
        <w:jc w:val="center"/>
        <w:tblLayout w:type="fixed"/>
        <w:tblCellMar>
          <w:top w:w="0" w:type="dxa"/>
          <w:left w:w="108" w:type="dxa"/>
          <w:bottom w:w="0" w:type="dxa"/>
          <w:right w:w="108" w:type="dxa"/>
        </w:tblCellMar>
      </w:tblPr>
      <w:tblGrid>
        <w:gridCol w:w="967"/>
        <w:gridCol w:w="1719"/>
        <w:gridCol w:w="2077"/>
        <w:gridCol w:w="1083"/>
        <w:gridCol w:w="992"/>
        <w:gridCol w:w="992"/>
      </w:tblGrid>
      <w:tr>
        <w:tblPrEx>
          <w:tblCellMar>
            <w:top w:w="0" w:type="dxa"/>
            <w:left w:w="108" w:type="dxa"/>
            <w:bottom w:w="0" w:type="dxa"/>
            <w:right w:w="108" w:type="dxa"/>
          </w:tblCellMar>
        </w:tblPrEx>
        <w:trPr>
          <w:trHeight w:val="538"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服务内容/产品名称</w:t>
            </w:r>
          </w:p>
        </w:tc>
        <w:tc>
          <w:tcPr>
            <w:tcW w:w="20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产品描述</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单价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小计</w:t>
            </w:r>
          </w:p>
        </w:tc>
      </w:tr>
      <w:tr>
        <w:tblPrEx>
          <w:tblCellMar>
            <w:top w:w="0" w:type="dxa"/>
            <w:left w:w="108" w:type="dxa"/>
            <w:bottom w:w="0" w:type="dxa"/>
            <w:right w:w="108" w:type="dxa"/>
          </w:tblCellMar>
        </w:tblPrEx>
        <w:trPr>
          <w:trHeight w:val="449"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叶片</w:t>
            </w:r>
          </w:p>
        </w:tc>
        <w:tc>
          <w:tcPr>
            <w:tcW w:w="2077"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9</w:t>
            </w:r>
            <w:r>
              <w:rPr>
                <w:rFonts w:ascii="微软雅黑" w:hAnsi="微软雅黑" w:eastAsia="微软雅黑"/>
                <w:sz w:val="21"/>
                <w:szCs w:val="21"/>
                <w:lang w:eastAsia="zh-CN"/>
              </w:rPr>
              <w:t>0050900003</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val="en-US" w:eastAsia="zh-CN"/>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分离器</w:t>
            </w:r>
          </w:p>
        </w:tc>
        <w:tc>
          <w:tcPr>
            <w:tcW w:w="2077"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9</w:t>
            </w:r>
            <w:r>
              <w:rPr>
                <w:rFonts w:ascii="微软雅黑" w:hAnsi="微软雅黑" w:eastAsia="微软雅黑"/>
                <w:sz w:val="21"/>
                <w:szCs w:val="21"/>
                <w:lang w:eastAsia="zh-CN"/>
              </w:rPr>
              <w:t>6541700000</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val="en-US" w:eastAsia="zh-CN"/>
              </w:rPr>
              <w:t>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油初滤</w:t>
            </w:r>
          </w:p>
        </w:tc>
        <w:tc>
          <w:tcPr>
            <w:tcW w:w="2077"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5</w:t>
            </w:r>
            <w:r>
              <w:rPr>
                <w:rFonts w:ascii="微软雅黑" w:hAnsi="微软雅黑" w:eastAsia="微软雅黑"/>
                <w:sz w:val="21"/>
                <w:szCs w:val="21"/>
                <w:lang w:eastAsia="zh-CN"/>
              </w:rPr>
              <w:t>0600026400</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val="en-US" w:eastAsia="zh-CN"/>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微软雅黑" w:hAnsi="微软雅黑" w:eastAsia="微软雅黑"/>
                <w:sz w:val="21"/>
                <w:szCs w:val="21"/>
                <w:lang w:eastAsia="zh-CN"/>
              </w:rPr>
              <w:t>密封垫</w:t>
            </w:r>
          </w:p>
        </w:tc>
        <w:tc>
          <w:tcPr>
            <w:tcW w:w="2077"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asciiTheme="minorEastAsia" w:hAnsiTheme="minorEastAsia" w:eastAsiaTheme="minorEastAsia" w:cstheme="minorEastAsia"/>
                <w:sz w:val="24"/>
                <w:szCs w:val="24"/>
              </w:rPr>
            </w:pPr>
            <w:r>
              <w:rPr>
                <w:rFonts w:hint="eastAsia" w:ascii="微软雅黑" w:hAnsi="微软雅黑" w:eastAsia="微软雅黑"/>
                <w:sz w:val="21"/>
                <w:szCs w:val="21"/>
                <w:lang w:eastAsia="zh-CN"/>
              </w:rPr>
              <w:t>5</w:t>
            </w:r>
            <w:r>
              <w:rPr>
                <w:rFonts w:ascii="微软雅黑" w:hAnsi="微软雅黑" w:eastAsia="微软雅黑"/>
                <w:sz w:val="21"/>
                <w:szCs w:val="21"/>
                <w:lang w:eastAsia="zh-CN"/>
              </w:rPr>
              <w:t>4900026800</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val="en-US" w:eastAsia="zh-CN"/>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轴承</w:t>
            </w:r>
          </w:p>
        </w:tc>
        <w:tc>
          <w:tcPr>
            <w:tcW w:w="2077"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9</w:t>
            </w:r>
            <w:r>
              <w:rPr>
                <w:rFonts w:ascii="微软雅黑" w:hAnsi="微软雅黑" w:eastAsia="微软雅黑"/>
                <w:sz w:val="21"/>
                <w:szCs w:val="21"/>
                <w:lang w:eastAsia="zh-CN"/>
              </w:rPr>
              <w:t>0661200000B</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val="en-US" w:eastAsia="zh-CN"/>
              </w:rPr>
              <w:t>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sz w:val="21"/>
                <w:szCs w:val="21"/>
                <w:lang w:eastAsia="zh-CN"/>
              </w:rPr>
              <w:t>内圈</w:t>
            </w:r>
          </w:p>
        </w:tc>
        <w:tc>
          <w:tcPr>
            <w:tcW w:w="2077"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eastAsia="zh-CN"/>
              </w:rPr>
              <w:t>9</w:t>
            </w:r>
            <w:r>
              <w:rPr>
                <w:rFonts w:ascii="微软雅黑" w:hAnsi="微软雅黑" w:eastAsia="微软雅黑"/>
                <w:sz w:val="21"/>
                <w:szCs w:val="21"/>
                <w:lang w:eastAsia="zh-CN"/>
              </w:rPr>
              <w:t>4801200000</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sz w:val="21"/>
                <w:szCs w:val="21"/>
                <w:lang w:val="en-US" w:eastAsia="zh-CN"/>
              </w:rPr>
              <w:t>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7</w:t>
            </w:r>
          </w:p>
        </w:tc>
        <w:tc>
          <w:tcPr>
            <w:tcW w:w="58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83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注：1、维修含系统</w:t>
            </w:r>
            <w:r>
              <w:rPr>
                <w:rFonts w:hint="eastAsia" w:asciiTheme="minorEastAsia" w:hAnsiTheme="minorEastAsia" w:cstheme="minorEastAsia"/>
                <w:sz w:val="24"/>
                <w:szCs w:val="24"/>
                <w:lang w:val="en-US" w:eastAsia="zh-CN"/>
              </w:rPr>
              <w:t>设备正常运行、叶片运行</w:t>
            </w:r>
            <w:r>
              <w:rPr>
                <w:rFonts w:hint="eastAsia" w:asciiTheme="minorEastAsia" w:hAnsiTheme="minorEastAsia" w:eastAsiaTheme="minorEastAsia" w:cstheme="minorEastAsia"/>
                <w:sz w:val="24"/>
                <w:szCs w:val="24"/>
                <w:lang w:val="en-US" w:eastAsia="zh-CN"/>
              </w:rPr>
              <w:t>、机组调试；</w:t>
            </w:r>
          </w:p>
          <w:p>
            <w:pPr>
              <w:numPr>
                <w:ilvl w:val="0"/>
                <w:numId w:val="2"/>
              </w:numPr>
              <w:ind w:left="84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更换部件质保期12个月；</w:t>
            </w:r>
          </w:p>
          <w:p>
            <w:pPr>
              <w:pStyle w:val="2"/>
              <w:numPr>
                <w:ilvl w:val="0"/>
                <w:numId w:val="2"/>
              </w:numPr>
              <w:ind w:left="840" w:leftChars="0" w:firstLine="0" w:firstLineChars="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val="en-US" w:eastAsia="zh-CN"/>
              </w:rPr>
              <w:t>报价包含</w:t>
            </w:r>
            <w:r>
              <w:rPr>
                <w:rFonts w:hint="eastAsia" w:asciiTheme="minorEastAsia" w:hAnsiTheme="minorEastAsia" w:cstheme="minorEastAsia"/>
                <w:sz w:val="24"/>
                <w:szCs w:val="24"/>
                <w:highlight w:val="yellow"/>
                <w:lang w:val="en-US" w:eastAsia="zh-CN"/>
              </w:rPr>
              <w:t>服务人工费、配件及耗材费、</w:t>
            </w:r>
            <w:r>
              <w:rPr>
                <w:rFonts w:hint="eastAsia" w:asciiTheme="minorEastAsia" w:hAnsiTheme="minorEastAsia" w:eastAsiaTheme="minorEastAsia" w:cstheme="minorEastAsia"/>
                <w:sz w:val="24"/>
                <w:szCs w:val="24"/>
                <w:highlight w:val="yellow"/>
                <w:lang w:val="en-US" w:eastAsia="zh-CN"/>
              </w:rPr>
              <w:t>税费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lang w:val="en-US" w:eastAsia="zh-CN"/>
              </w:rPr>
              <w:t>。</w:t>
            </w:r>
          </w:p>
        </w:tc>
      </w:tr>
    </w:tbl>
    <w:p>
      <w:pPr>
        <w:spacing w:line="360" w:lineRule="auto"/>
        <w:ind w:left="240" w:hanging="240" w:hangingChars="1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费用结算：</w:t>
      </w:r>
      <w:r>
        <w:rPr>
          <w:rFonts w:hint="eastAsia" w:asciiTheme="minorEastAsia" w:hAnsiTheme="minorEastAsia" w:eastAsiaTheme="minorEastAsia" w:cstheme="minorEastAsia"/>
          <w:b w:val="0"/>
          <w:bCs/>
          <w:sz w:val="24"/>
          <w:szCs w:val="24"/>
          <w:lang w:eastAsia="zh-CN"/>
        </w:rPr>
        <w:t>合同签订后</w:t>
      </w:r>
      <w:r>
        <w:rPr>
          <w:rFonts w:hint="eastAsia" w:asciiTheme="majorEastAsia" w:hAnsiTheme="majorEastAsia" w:eastAsiaTheme="majorEastAsia" w:cstheme="majorEastAsia"/>
          <w:b w:val="0"/>
          <w:bCs w:val="0"/>
          <w:sz w:val="24"/>
          <w:szCs w:val="24"/>
          <w:lang w:val="en-US" w:eastAsia="zh-CN"/>
        </w:rPr>
        <w:t>龙湾院区负压机组紧急更换配件询价维修</w:t>
      </w:r>
      <w:bookmarkStart w:id="0" w:name="_GoBack"/>
      <w:bookmarkEnd w:id="0"/>
      <w:r>
        <w:rPr>
          <w:rFonts w:hint="eastAsia" w:asciiTheme="minorEastAsia" w:hAnsiTheme="minorEastAsia" w:eastAsiaTheme="minorEastAsia" w:cstheme="minorEastAsia"/>
          <w:b w:val="0"/>
          <w:bCs/>
          <w:sz w:val="24"/>
          <w:szCs w:val="24"/>
        </w:rPr>
        <w:t>结束</w:t>
      </w:r>
      <w:r>
        <w:rPr>
          <w:rFonts w:hint="eastAsia" w:asciiTheme="minorEastAsia" w:hAnsiTheme="minorEastAsia" w:eastAsiaTheme="minorEastAsia" w:cstheme="minorEastAsia"/>
          <w:b w:val="0"/>
          <w:bCs/>
          <w:sz w:val="24"/>
          <w:szCs w:val="24"/>
          <w:lang w:eastAsia="zh-CN"/>
        </w:rPr>
        <w:t>经甲方确认验收合格</w:t>
      </w:r>
      <w:r>
        <w:rPr>
          <w:rFonts w:hint="eastAsia" w:asciiTheme="minorEastAsia" w:hAnsiTheme="minorEastAsia" w:eastAsiaTheme="minorEastAsia" w:cstheme="minorEastAsia"/>
          <w:b w:val="0"/>
          <w:bCs/>
          <w:sz w:val="24"/>
          <w:szCs w:val="24"/>
        </w:rPr>
        <w:t>正常运行</w:t>
      </w:r>
      <w:r>
        <w:rPr>
          <w:rFonts w:hint="eastAsia" w:asciiTheme="minorEastAsia" w:hAnsiTheme="minorEastAsia" w:eastAsiaTheme="minorEastAsia" w:cstheme="minorEastAsia"/>
          <w:b w:val="0"/>
          <w:bCs/>
          <w:sz w:val="24"/>
          <w:szCs w:val="24"/>
          <w:lang w:val="en-US" w:eastAsia="zh-CN"/>
        </w:rPr>
        <w:t>10天</w:t>
      </w:r>
      <w:r>
        <w:rPr>
          <w:rFonts w:hint="eastAsia" w:asciiTheme="minorEastAsia" w:hAnsiTheme="minorEastAsia" w:eastAsiaTheme="minorEastAsia" w:cstheme="minorEastAsia"/>
          <w:b w:val="0"/>
          <w:bCs/>
          <w:sz w:val="24"/>
          <w:szCs w:val="24"/>
        </w:rPr>
        <w:t>后</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乙方开具对应数额的符合甲方财务要求的正式发票后，甲方在审批完成后7 日内支付100%款项。</w:t>
      </w:r>
    </w:p>
    <w:p>
      <w:pPr>
        <w:widowControl/>
        <w:numPr>
          <w:ilvl w:val="0"/>
          <w:numId w:val="0"/>
        </w:numPr>
        <w:tabs>
          <w:tab w:val="left" w:pos="142"/>
        </w:tabs>
        <w:spacing w:line="360" w:lineRule="auto"/>
        <w:ind w:leftChars="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lang w:eastAsia="zh-CN"/>
        </w:rPr>
        <w:t>甲方</w:t>
      </w:r>
      <w:r>
        <w:rPr>
          <w:rFonts w:hint="eastAsia" w:asciiTheme="minorEastAsia" w:hAnsiTheme="minorEastAsia" w:eastAsiaTheme="minorEastAsia" w:cstheme="minorEastAsia"/>
          <w:b w:val="0"/>
          <w:bCs/>
          <w:sz w:val="24"/>
          <w:szCs w:val="24"/>
        </w:rPr>
        <w:t>义务</w:t>
      </w:r>
      <w:r>
        <w:rPr>
          <w:rFonts w:hint="eastAsia" w:asciiTheme="minorEastAsia" w:hAnsiTheme="minorEastAsia" w:eastAsiaTheme="minorEastAsia" w:cstheme="min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5.1</w:t>
      </w:r>
      <w:r>
        <w:rPr>
          <w:rFonts w:hint="eastAsia" w:asciiTheme="minorEastAsia" w:hAnsiTheme="minorEastAsia" w:eastAsiaTheme="minorEastAsia" w:cstheme="minorEastAsia"/>
          <w:b w:val="0"/>
          <w:bCs/>
          <w:sz w:val="24"/>
          <w:szCs w:val="24"/>
        </w:rPr>
        <w:t>甲方需保证服务期内，享有维修对象的所有权或已获得所有权人的相关合法授权，有权就上述维修对象及维修项目与乙方签订本合同，并且不会侵害任何第三方的合法权益。</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5.2</w:t>
      </w:r>
      <w:r>
        <w:rPr>
          <w:rFonts w:hint="eastAsia" w:asciiTheme="minorEastAsia" w:hAnsiTheme="minorEastAsia" w:eastAsiaTheme="minorEastAsia" w:cstheme="minorEastAsia"/>
          <w:b w:val="0"/>
          <w:bCs/>
          <w:sz w:val="24"/>
          <w:szCs w:val="24"/>
        </w:rPr>
        <w:t>甲方需为乙方履行本合同约定服务提供相应的配合，派人员协助乙方进行工作，帮助开门及协调水电使用，并协调物业等第三方进行配合。</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5.3</w:t>
      </w:r>
      <w:r>
        <w:rPr>
          <w:rFonts w:hint="eastAsia" w:asciiTheme="minorEastAsia" w:hAnsiTheme="minorEastAsia" w:eastAsiaTheme="minorEastAsia" w:cstheme="minorEastAsia"/>
          <w:b w:val="0"/>
          <w:bCs/>
          <w:sz w:val="24"/>
          <w:szCs w:val="24"/>
        </w:rPr>
        <w:t>维修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5.4</w:t>
      </w:r>
      <w:r>
        <w:rPr>
          <w:rFonts w:hint="eastAsia" w:asciiTheme="minorEastAsia" w:hAnsiTheme="minorEastAsia" w:eastAsiaTheme="minorEastAsia" w:cstheme="minorEastAsia"/>
          <w:b w:val="0"/>
          <w:bCs/>
          <w:sz w:val="24"/>
          <w:szCs w:val="24"/>
        </w:rPr>
        <w:t>甲方应按合同约定向乙方支付服务费用。</w:t>
      </w:r>
    </w:p>
    <w:p>
      <w:pPr>
        <w:widowControl/>
        <w:numPr>
          <w:ilvl w:val="0"/>
          <w:numId w:val="0"/>
        </w:numPr>
        <w:tabs>
          <w:tab w:val="left" w:pos="142"/>
        </w:tabs>
        <w:spacing w:line="360" w:lineRule="auto"/>
        <w:ind w:leftChars="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乙方义务</w:t>
      </w:r>
      <w:r>
        <w:rPr>
          <w:rFonts w:hint="eastAsia" w:asciiTheme="minorEastAsia" w:hAnsiTheme="minorEastAsia" w:eastAsiaTheme="minorEastAsia" w:cstheme="min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6.1</w:t>
      </w:r>
      <w:r>
        <w:rPr>
          <w:rFonts w:hint="eastAsia" w:asciiTheme="minorEastAsia" w:hAnsiTheme="minorEastAsia" w:eastAsiaTheme="minorEastAsia" w:cstheme="minorEastAsia"/>
          <w:b w:val="0"/>
          <w:bCs/>
          <w:sz w:val="24"/>
          <w:szCs w:val="24"/>
        </w:rPr>
        <w:t>乙方应在约定的工期内完成维修，如遇特殊情况无法完成的，应及时通知甲方，双方协商一致后再行确定工期。</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6.2</w:t>
      </w:r>
      <w:r>
        <w:rPr>
          <w:rFonts w:hint="eastAsia" w:asciiTheme="minorEastAsia" w:hAnsiTheme="minorEastAsia" w:eastAsiaTheme="minorEastAsia" w:cstheme="minorEastAsia"/>
          <w:b w:val="0"/>
          <w:bCs/>
          <w:sz w:val="24"/>
          <w:szCs w:val="24"/>
        </w:rPr>
        <w:t>乙方在进行维修工作时应遵守甲方书面告知的各项管理制度及安全操作制度，如有争议应通知甲方相关人员解决，不得与甲方及第三方工作人员发生冲突。</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6.3</w:t>
      </w:r>
      <w:r>
        <w:rPr>
          <w:rFonts w:hint="eastAsia" w:asciiTheme="minorEastAsia" w:hAnsiTheme="minorEastAsia" w:eastAsiaTheme="minorEastAsia" w:cstheme="minorEastAsia"/>
          <w:b w:val="0"/>
          <w:bCs/>
          <w:sz w:val="24"/>
          <w:szCs w:val="24"/>
        </w:rPr>
        <w:t>维修工作完成后，应及时清理维修过程中产生的垃圾，做到工完场清。</w:t>
      </w:r>
    </w:p>
    <w:p>
      <w:pPr>
        <w:numPr>
          <w:ilvl w:val="0"/>
          <w:numId w:val="0"/>
        </w:numPr>
        <w:tabs>
          <w:tab w:val="left" w:pos="142"/>
        </w:tabs>
        <w:spacing w:line="360" w:lineRule="auto"/>
        <w:ind w:firstLine="240" w:firstLineChars="100"/>
        <w:rPr>
          <w:rFonts w:hint="eastAsia" w:asciiTheme="minorEastAsia" w:hAnsiTheme="minorEastAsia" w:eastAsiaTheme="minorEastAsia" w:cstheme="minorEastAsia"/>
          <w:bCs/>
          <w:kern w:val="2"/>
          <w:sz w:val="24"/>
          <w:szCs w:val="24"/>
          <w:shd w:val="clear" w:color="auto" w:fill="auto"/>
          <w:lang w:bidi="ar-SA"/>
        </w:rPr>
      </w:pPr>
      <w:r>
        <w:rPr>
          <w:rFonts w:hint="eastAsia" w:asciiTheme="minorEastAsia" w:hAnsiTheme="minorEastAsia" w:eastAsiaTheme="minorEastAsia" w:cstheme="minorEastAsia"/>
          <w:b w:val="0"/>
          <w:bCs/>
          <w:kern w:val="2"/>
          <w:sz w:val="24"/>
          <w:szCs w:val="24"/>
          <w:lang w:val="en-US" w:eastAsia="zh-CN" w:bidi="ar-SA"/>
        </w:rPr>
        <w:t>6.4</w:t>
      </w:r>
      <w:r>
        <w:rPr>
          <w:rFonts w:hint="eastAsia" w:asciiTheme="minorEastAsia" w:hAnsiTheme="minorEastAsia" w:eastAsiaTheme="minorEastAsia" w:cstheme="minorEastAsia"/>
          <w:bCs/>
          <w:kern w:val="2"/>
          <w:sz w:val="24"/>
          <w:szCs w:val="24"/>
          <w:shd w:val="clear" w:color="auto" w:fill="auto"/>
          <w:lang w:bidi="ar-SA"/>
        </w:rPr>
        <w:t>设备维修验收合格后12个月质保期内，如经维修，乙方所更换的设备、材料仍无法达到正常使用标准的，乙方须进行无条件更换。</w:t>
      </w:r>
    </w:p>
    <w:p>
      <w:pPr>
        <w:numPr>
          <w:ilvl w:val="0"/>
          <w:numId w:val="0"/>
        </w:numPr>
        <w:tabs>
          <w:tab w:val="left" w:pos="142"/>
        </w:tabs>
        <w:spacing w:line="360" w:lineRule="auto"/>
        <w:ind w:firstLine="240" w:firstLineChars="1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bCs/>
          <w:sz w:val="24"/>
          <w:szCs w:val="24"/>
          <w:shd w:val="clear" w:color="auto" w:fill="auto"/>
          <w:lang w:val="en-US" w:eastAsia="zh-CN"/>
        </w:rPr>
        <w:t>6.5</w:t>
      </w:r>
      <w:r>
        <w:rPr>
          <w:rFonts w:hint="eastAsia" w:asciiTheme="minorEastAsia" w:hAnsiTheme="minorEastAsia" w:eastAsiaTheme="minorEastAsia" w:cstheme="minorEastAsia"/>
          <w:bCs/>
          <w:sz w:val="24"/>
          <w:szCs w:val="24"/>
          <w:shd w:val="clear" w:color="auto" w:fill="auto"/>
        </w:rPr>
        <w:t>乙方在作业过程中应注重安全文明施工，如因乙方原因导致其自身、甲方、第三方人身、财产损失的，由乙方承担所有责任。</w:t>
      </w:r>
    </w:p>
    <w:p>
      <w:pPr>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违约责任</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、除不可抗力因素外，乙方有下列情形之一的，甲方有权解除合同，乙方按照合同总金额的</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%支付违约金，若违约金不足以抵付甲方损失的，乙方还应根据甲方实际经济损失补足差额。</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（1）拒绝履行合同义务，擅自解除合同的；</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（2）乙方因自身经营原因，无法继续履行合同，要求终止合同；</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（4）未经甲方同意，乙方转包、分包合同事务，在承包区域内从事未经甲方认可的承包工作。</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（5）乙方出现重大管理不到位（如已影响甲方公众形象、声誉的），有多次投诉而得不到纠正的。</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（6）合同约定的甲方可以解除合同的其他情形。</w:t>
      </w:r>
    </w:p>
    <w:p>
      <w:pPr>
        <w:pStyle w:val="5"/>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2、服务期间，非不可抗力，甲方擅自解除本合同，甲方按照合同总金额的</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%支付违约金。若违约金不足以抵付乙方损失的，甲方还应根据乙方实际经济损失补足差额。</w:t>
      </w:r>
    </w:p>
    <w:p>
      <w:pPr>
        <w:autoSpaceDE w:val="0"/>
        <w:spacing w:line="360" w:lineRule="auto"/>
        <w:ind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3、因不可抗力因素造成本合同无法执行，任意一方可终止本合同，无需做出任何赔偿。经双方协商同意可终止部分或全部合同的，无须承担违约责任。</w:t>
      </w:r>
    </w:p>
    <w:p>
      <w:pPr>
        <w:rPr>
          <w:rFonts w:hint="eastAsia" w:asciiTheme="minorEastAsia" w:hAnsiTheme="minorEastAsia" w:eastAsiaTheme="minorEastAsia" w:cstheme="minorEastAsia"/>
          <w:b w:val="0"/>
          <w:bCs/>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1698C"/>
    <w:multiLevelType w:val="singleLevel"/>
    <w:tmpl w:val="D4D1698C"/>
    <w:lvl w:ilvl="0" w:tentative="0">
      <w:start w:val="2"/>
      <w:numFmt w:val="decimal"/>
      <w:suff w:val="nothing"/>
      <w:lvlText w:val="%1、"/>
      <w:lvlJc w:val="left"/>
      <w:pPr>
        <w:ind w:left="840" w:leftChars="0" w:firstLine="0" w:firstLineChars="0"/>
      </w:pPr>
    </w:lvl>
  </w:abstractNum>
  <w:abstractNum w:abstractNumId="1">
    <w:nsid w:val="57A070AF"/>
    <w:multiLevelType w:val="multilevel"/>
    <w:tmpl w:val="57A070AF"/>
    <w:lvl w:ilvl="0" w:tentative="0">
      <w:start w:val="1"/>
      <w:numFmt w:val="japaneseCounting"/>
      <w:lvlText w:val="%1、"/>
      <w:lvlJc w:val="left"/>
      <w:pPr>
        <w:tabs>
          <w:tab w:val="left" w:pos="779"/>
        </w:tabs>
        <w:ind w:left="779" w:hanging="420"/>
      </w:pPr>
      <w:rPr>
        <w:rFonts w:hint="eastAsia"/>
      </w:rPr>
    </w:lvl>
    <w:lvl w:ilvl="1" w:tentative="0">
      <w:start w:val="1"/>
      <w:numFmt w:val="decimal"/>
      <w:lvlText w:val="%2、"/>
      <w:lvlJc w:val="left"/>
      <w:pPr>
        <w:tabs>
          <w:tab w:val="left" w:pos="786"/>
        </w:tabs>
        <w:ind w:left="786" w:hanging="360"/>
      </w:pPr>
      <w:rPr>
        <w:rFonts w:ascii="华文仿宋" w:hAnsi="华文仿宋" w:eastAsia="华文仿宋" w:cs="Times New Roman"/>
        <w:b/>
      </w:rPr>
    </w:lvl>
    <w:lvl w:ilvl="2" w:tentative="0">
      <w:start w:val="1"/>
      <w:numFmt w:val="decimal"/>
      <w:lvlText w:val="%3)"/>
      <w:lvlJc w:val="left"/>
      <w:pPr>
        <w:tabs>
          <w:tab w:val="left" w:pos="1619"/>
        </w:tabs>
        <w:ind w:left="1619" w:hanging="420"/>
      </w:pPr>
      <w:rPr>
        <w:rFonts w:hint="eastAsia"/>
      </w:rPr>
    </w:lvl>
    <w:lvl w:ilvl="3" w:tentative="0">
      <w:start w:val="7"/>
      <w:numFmt w:val="decimal"/>
      <w:lvlText w:val="%4、"/>
      <w:lvlJc w:val="left"/>
      <w:pPr>
        <w:tabs>
          <w:tab w:val="left" w:pos="2039"/>
        </w:tabs>
        <w:ind w:left="2039" w:hanging="420"/>
      </w:pPr>
      <w:rPr>
        <w:rFonts w:hint="default"/>
      </w:rPr>
    </w:lvl>
    <w:lvl w:ilvl="4" w:tentative="0">
      <w:start w:val="1"/>
      <w:numFmt w:val="decimal"/>
      <w:lvlText w:val="%5)"/>
      <w:lvlJc w:val="left"/>
      <w:pPr>
        <w:tabs>
          <w:tab w:val="left" w:pos="2459"/>
        </w:tabs>
        <w:ind w:left="2459" w:hanging="420"/>
      </w:pPr>
      <w:rPr>
        <w:rFonts w:hint="eastAsia"/>
      </w:rPr>
    </w:lvl>
    <w:lvl w:ilvl="5" w:tentative="0">
      <w:start w:val="1"/>
      <w:numFmt w:val="decimalEnclosedCircle"/>
      <w:lvlText w:val="%6"/>
      <w:lvlJc w:val="left"/>
      <w:pPr>
        <w:ind w:left="2819" w:hanging="360"/>
      </w:pPr>
      <w:rPr>
        <w:rFonts w:hint="default"/>
      </w:r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2QzOTk3YjQ1MDk2N2RiMjMzN2JhMDNlOThjYWMifQ=="/>
  </w:docVars>
  <w:rsids>
    <w:rsidRoot w:val="758D0909"/>
    <w:rsid w:val="2DB1674B"/>
    <w:rsid w:val="5C1761A2"/>
    <w:rsid w:val="758D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List Paragraph"/>
    <w:basedOn w:val="1"/>
    <w:autoRedefine/>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2024-06-05T06:49:00Z</dcterms:created>
  <dc:creator>渡.</dc:creator>
  <cp:lastModifiedBy>渡.</cp:lastModifiedBy>
  <dcterms:modified xsi:type="dcterms:W3CDTF">2024-06-06T06:06:54Z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E7B3E682821D4825897F2F5AE40D6A30_13</vt:lpwstr>
  </property>
</Properties>
</file>