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eastAsia="zh-CN"/>
        </w:rPr>
      </w:pPr>
      <w:r>
        <w:rPr>
          <w:rFonts w:hint="eastAsia"/>
          <w:sz w:val="36"/>
          <w:szCs w:val="36"/>
          <w:lang w:val="en-US" w:eastAsia="zh-CN"/>
        </w:rPr>
        <w:t>医疗废物智慧监管平台视频监控运维服务报价单</w:t>
      </w:r>
    </w:p>
    <w:p>
      <w:pPr>
        <w:jc w:val="left"/>
        <w:rPr>
          <w:rFonts w:hint="eastAsia"/>
          <w:lang w:val="en-US" w:eastAsia="zh-CN"/>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after="60"/>
        <w:jc w:val="left"/>
        <w:textAlignment w:val="auto"/>
        <w:rPr>
          <w:rFonts w:hint="eastAsia"/>
          <w:b/>
          <w:bCs/>
          <w:lang w:val="en-US" w:eastAsia="zh-CN"/>
        </w:rPr>
      </w:pPr>
      <w:r>
        <w:rPr>
          <w:rFonts w:hint="eastAsia"/>
          <w:b/>
          <w:bCs/>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after="60"/>
        <w:ind w:firstLine="420" w:firstLineChars="200"/>
        <w:jc w:val="left"/>
        <w:textAlignment w:val="auto"/>
        <w:rPr>
          <w:rFonts w:hint="default"/>
          <w:lang w:val="en-US" w:eastAsia="zh-CN"/>
        </w:rPr>
      </w:pPr>
      <w:r>
        <w:rPr>
          <w:rFonts w:hint="eastAsia"/>
          <w:lang w:val="en-US" w:eastAsia="zh-CN"/>
        </w:rPr>
        <w:t>1、服务地点：鹿城院区、龙湾院区、瓯江口院区的医废暂存间、污水站</w:t>
      </w:r>
    </w:p>
    <w:p>
      <w:pPr>
        <w:keepNext w:val="0"/>
        <w:keepLines w:val="0"/>
        <w:pageBreakBefore w:val="0"/>
        <w:widowControl w:val="0"/>
        <w:numPr>
          <w:ilvl w:val="0"/>
          <w:numId w:val="0"/>
        </w:numPr>
        <w:kinsoku/>
        <w:wordWrap/>
        <w:overflowPunct/>
        <w:topLinePunct w:val="0"/>
        <w:autoSpaceDE/>
        <w:autoSpaceDN/>
        <w:bidi w:val="0"/>
        <w:adjustRightInd/>
        <w:snapToGrid/>
        <w:spacing w:after="60"/>
        <w:ind w:firstLine="420" w:firstLineChars="200"/>
        <w:jc w:val="left"/>
        <w:textAlignment w:val="auto"/>
        <w:rPr>
          <w:rFonts w:hint="default"/>
          <w:lang w:val="en-US" w:eastAsia="zh-CN"/>
        </w:rPr>
      </w:pPr>
      <w:r>
        <w:rPr>
          <w:rFonts w:hint="eastAsia"/>
          <w:lang w:val="en-US" w:eastAsia="zh-CN"/>
        </w:rPr>
        <w:t>2、服务时间：2年</w:t>
      </w:r>
    </w:p>
    <w:p>
      <w:pPr>
        <w:keepNext w:val="0"/>
        <w:keepLines w:val="0"/>
        <w:pageBreakBefore w:val="0"/>
        <w:widowControl w:val="0"/>
        <w:numPr>
          <w:ilvl w:val="0"/>
          <w:numId w:val="0"/>
        </w:numPr>
        <w:kinsoku/>
        <w:wordWrap/>
        <w:overflowPunct/>
        <w:topLinePunct w:val="0"/>
        <w:autoSpaceDE/>
        <w:autoSpaceDN/>
        <w:bidi w:val="0"/>
        <w:adjustRightInd/>
        <w:snapToGrid/>
        <w:spacing w:after="60"/>
        <w:ind w:firstLine="420" w:firstLineChars="200"/>
        <w:jc w:val="left"/>
        <w:textAlignment w:val="auto"/>
        <w:rPr>
          <w:rFonts w:hint="eastAsia"/>
          <w:lang w:val="en-US" w:eastAsia="zh-CN"/>
        </w:rPr>
      </w:pPr>
      <w:r>
        <w:rPr>
          <w:rFonts w:hint="eastAsia"/>
          <w:lang w:val="en-US" w:eastAsia="zh-CN"/>
        </w:rPr>
        <w:t>3、服务内容：</w:t>
      </w:r>
      <w:r>
        <w:rPr>
          <w:rFonts w:hint="default"/>
          <w:lang w:val="en-US" w:eastAsia="zh-CN"/>
        </w:rPr>
        <w:t>本项目应用软件的维护范围主要包括但不限于：日常运维服务、技术升级及迭代更新、补丁管理、技术服务、日常巡检、日常监控、系统软件、服务器运行维护。</w:t>
      </w:r>
    </w:p>
    <w:p>
      <w:pPr>
        <w:keepNext w:val="0"/>
        <w:keepLines w:val="0"/>
        <w:pageBreakBefore w:val="0"/>
        <w:widowControl w:val="0"/>
        <w:numPr>
          <w:ilvl w:val="0"/>
          <w:numId w:val="0"/>
        </w:numPr>
        <w:kinsoku/>
        <w:wordWrap/>
        <w:overflowPunct/>
        <w:topLinePunct w:val="0"/>
        <w:autoSpaceDE/>
        <w:autoSpaceDN/>
        <w:bidi w:val="0"/>
        <w:adjustRightInd/>
        <w:snapToGrid/>
        <w:spacing w:after="60"/>
        <w:ind w:firstLine="420" w:firstLineChars="200"/>
        <w:jc w:val="left"/>
        <w:textAlignment w:val="auto"/>
        <w:rPr>
          <w:rFonts w:hint="default"/>
          <w:lang w:val="en-US" w:eastAsia="zh-CN"/>
        </w:rPr>
      </w:pPr>
      <w:r>
        <w:rPr>
          <w:rFonts w:hint="eastAsia"/>
          <w:lang w:val="en-US" w:eastAsia="zh-CN"/>
        </w:rPr>
        <w:t>3</w:t>
      </w:r>
      <w:r>
        <w:rPr>
          <w:rFonts w:hint="default"/>
          <w:lang w:val="en-US" w:eastAsia="zh-CN"/>
        </w:rPr>
        <w:t>.1网络通讯设施维护</w:t>
      </w:r>
    </w:p>
    <w:p>
      <w:pPr>
        <w:keepNext w:val="0"/>
        <w:keepLines w:val="0"/>
        <w:pageBreakBefore w:val="0"/>
        <w:widowControl w:val="0"/>
        <w:numPr>
          <w:ilvl w:val="0"/>
          <w:numId w:val="0"/>
        </w:numPr>
        <w:kinsoku/>
        <w:wordWrap/>
        <w:overflowPunct/>
        <w:topLinePunct w:val="0"/>
        <w:autoSpaceDE/>
        <w:autoSpaceDN/>
        <w:bidi w:val="0"/>
        <w:adjustRightInd/>
        <w:snapToGrid/>
        <w:spacing w:after="60"/>
        <w:ind w:firstLine="420" w:firstLineChars="200"/>
        <w:jc w:val="left"/>
        <w:textAlignment w:val="auto"/>
        <w:rPr>
          <w:rFonts w:hint="default"/>
          <w:lang w:val="en-US" w:eastAsia="zh-CN"/>
        </w:rPr>
      </w:pPr>
      <w:r>
        <w:rPr>
          <w:rFonts w:hint="default"/>
          <w:lang w:val="en-US" w:eastAsia="zh-CN"/>
        </w:rPr>
        <w:t>监控应用系统使用的服务器硬件、存储、网络设备与带宽、安全设备、专用设备，属于温州市健康云云平台环境下的基础设施。本项目运维方案提供的运维服务内容，不考虑系统部署的机房、通讯、消防等基础配套工程的运维服务内容。</w:t>
      </w:r>
    </w:p>
    <w:p>
      <w:pPr>
        <w:keepNext w:val="0"/>
        <w:keepLines w:val="0"/>
        <w:pageBreakBefore w:val="0"/>
        <w:widowControl w:val="0"/>
        <w:numPr>
          <w:ilvl w:val="0"/>
          <w:numId w:val="0"/>
        </w:numPr>
        <w:kinsoku/>
        <w:wordWrap/>
        <w:overflowPunct/>
        <w:topLinePunct w:val="0"/>
        <w:autoSpaceDE/>
        <w:autoSpaceDN/>
        <w:bidi w:val="0"/>
        <w:adjustRightInd/>
        <w:snapToGrid/>
        <w:spacing w:after="60"/>
        <w:ind w:firstLine="420" w:firstLineChars="200"/>
        <w:jc w:val="left"/>
        <w:textAlignment w:val="auto"/>
        <w:rPr>
          <w:rFonts w:hint="default"/>
          <w:lang w:val="en-US" w:eastAsia="zh-CN"/>
        </w:rPr>
      </w:pPr>
      <w:r>
        <w:rPr>
          <w:rFonts w:hint="eastAsia"/>
          <w:lang w:val="en-US" w:eastAsia="zh-CN"/>
        </w:rPr>
        <w:t>3</w:t>
      </w:r>
      <w:r>
        <w:rPr>
          <w:rFonts w:hint="default"/>
          <w:lang w:val="en-US" w:eastAsia="zh-CN"/>
        </w:rPr>
        <w:t>.2硬件设施维护</w:t>
      </w:r>
    </w:p>
    <w:p>
      <w:pPr>
        <w:keepNext w:val="0"/>
        <w:keepLines w:val="0"/>
        <w:pageBreakBefore w:val="0"/>
        <w:widowControl w:val="0"/>
        <w:numPr>
          <w:ilvl w:val="0"/>
          <w:numId w:val="0"/>
        </w:numPr>
        <w:kinsoku/>
        <w:wordWrap/>
        <w:overflowPunct/>
        <w:topLinePunct w:val="0"/>
        <w:autoSpaceDE/>
        <w:autoSpaceDN/>
        <w:bidi w:val="0"/>
        <w:adjustRightInd/>
        <w:snapToGrid/>
        <w:spacing w:after="60"/>
        <w:ind w:firstLine="420" w:firstLineChars="200"/>
        <w:jc w:val="left"/>
        <w:textAlignment w:val="auto"/>
        <w:rPr>
          <w:rFonts w:hint="default"/>
          <w:lang w:val="en-US" w:eastAsia="zh-CN"/>
        </w:rPr>
      </w:pPr>
      <w:r>
        <w:rPr>
          <w:rFonts w:hint="default"/>
          <w:lang w:val="en-US" w:eastAsia="zh-CN"/>
        </w:rPr>
        <w:t>本系统基于温州市健康云云平台提供的服务标准基础进行租赁，服务器租赁应采用虚拟机，虚拟机运行环境的底层服务器物理硬件设备不属于本运维服务内容范围。</w:t>
      </w:r>
    </w:p>
    <w:tbl>
      <w:tblPr>
        <w:tblStyle w:val="6"/>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1240"/>
        <w:gridCol w:w="869"/>
        <w:gridCol w:w="1087"/>
        <w:gridCol w:w="108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66" w:type="dxa"/>
            <w:shd w:val="clear" w:color="000000" w:fill="F2F2F2"/>
            <w:vAlign w:val="center"/>
          </w:tcPr>
          <w:p>
            <w:pPr>
              <w:jc w:val="center"/>
              <w:rPr>
                <w:rFonts w:ascii="宋体" w:hAnsi="宋体" w:cs="宋体"/>
                <w:b/>
                <w:sz w:val="21"/>
                <w:szCs w:val="21"/>
              </w:rPr>
            </w:pPr>
            <w:r>
              <w:rPr>
                <w:rFonts w:hint="eastAsia" w:ascii="宋体" w:hAnsi="宋体" w:cs="宋体"/>
                <w:b/>
                <w:sz w:val="21"/>
                <w:szCs w:val="21"/>
              </w:rPr>
              <w:t>服务器名称</w:t>
            </w:r>
          </w:p>
        </w:tc>
        <w:tc>
          <w:tcPr>
            <w:tcW w:w="1240" w:type="dxa"/>
            <w:shd w:val="clear" w:color="000000" w:fill="F2F2F2"/>
            <w:vAlign w:val="center"/>
          </w:tcPr>
          <w:p>
            <w:pPr>
              <w:rPr>
                <w:rFonts w:ascii="宋体" w:hAnsi="宋体" w:cs="宋体"/>
                <w:b/>
                <w:sz w:val="21"/>
                <w:szCs w:val="21"/>
              </w:rPr>
            </w:pPr>
            <w:r>
              <w:rPr>
                <w:rFonts w:hint="eastAsia" w:ascii="宋体" w:hAnsi="宋体" w:cs="宋体"/>
                <w:b/>
                <w:sz w:val="21"/>
                <w:szCs w:val="21"/>
              </w:rPr>
              <w:t>操作系统</w:t>
            </w:r>
          </w:p>
        </w:tc>
        <w:tc>
          <w:tcPr>
            <w:tcW w:w="869" w:type="dxa"/>
            <w:shd w:val="clear" w:color="000000" w:fill="F2F2F2"/>
            <w:vAlign w:val="center"/>
          </w:tcPr>
          <w:p>
            <w:pPr>
              <w:rPr>
                <w:rFonts w:ascii="宋体" w:hAnsi="宋体" w:cs="宋体"/>
                <w:b/>
                <w:sz w:val="21"/>
                <w:szCs w:val="21"/>
              </w:rPr>
            </w:pPr>
            <w:r>
              <w:rPr>
                <w:rFonts w:hint="eastAsia" w:ascii="宋体" w:hAnsi="宋体" w:cs="宋体"/>
                <w:b/>
                <w:sz w:val="21"/>
                <w:szCs w:val="21"/>
              </w:rPr>
              <w:t>CPU</w:t>
            </w:r>
          </w:p>
        </w:tc>
        <w:tc>
          <w:tcPr>
            <w:tcW w:w="1087" w:type="dxa"/>
            <w:shd w:val="clear" w:color="000000" w:fill="F2F2F2"/>
            <w:vAlign w:val="center"/>
          </w:tcPr>
          <w:p>
            <w:pPr>
              <w:rPr>
                <w:rFonts w:ascii="宋体" w:hAnsi="宋体" w:cs="宋体"/>
                <w:b/>
                <w:sz w:val="21"/>
                <w:szCs w:val="21"/>
              </w:rPr>
            </w:pPr>
            <w:r>
              <w:rPr>
                <w:rFonts w:hint="eastAsia" w:ascii="宋体" w:hAnsi="宋体" w:cs="宋体"/>
                <w:b/>
                <w:sz w:val="21"/>
                <w:szCs w:val="21"/>
              </w:rPr>
              <w:t>内存（GB）</w:t>
            </w:r>
          </w:p>
        </w:tc>
        <w:tc>
          <w:tcPr>
            <w:tcW w:w="1086" w:type="dxa"/>
            <w:shd w:val="clear" w:color="000000" w:fill="F2F2F2"/>
            <w:vAlign w:val="center"/>
          </w:tcPr>
          <w:p>
            <w:pPr>
              <w:rPr>
                <w:rFonts w:ascii="宋体" w:hAnsi="宋体" w:cs="宋体"/>
                <w:b/>
                <w:sz w:val="21"/>
                <w:szCs w:val="21"/>
              </w:rPr>
            </w:pPr>
            <w:r>
              <w:rPr>
                <w:rFonts w:hint="eastAsia" w:ascii="宋体" w:hAnsi="宋体" w:cs="宋体"/>
                <w:b/>
                <w:sz w:val="21"/>
                <w:szCs w:val="21"/>
              </w:rPr>
              <w:t>硬盘（GB）</w:t>
            </w:r>
          </w:p>
        </w:tc>
        <w:tc>
          <w:tcPr>
            <w:tcW w:w="2286" w:type="dxa"/>
            <w:shd w:val="clear" w:color="000000" w:fill="F2F2F2"/>
            <w:vAlign w:val="center"/>
          </w:tcPr>
          <w:p>
            <w:pPr>
              <w:ind w:firstLine="422"/>
              <w:rPr>
                <w:rFonts w:ascii="宋体" w:hAnsi="宋体" w:cs="宋体"/>
                <w:b/>
                <w:sz w:val="21"/>
                <w:szCs w:val="21"/>
              </w:rPr>
            </w:pPr>
            <w:r>
              <w:rPr>
                <w:rFonts w:hint="eastAsia" w:ascii="宋体" w:hAnsi="宋体" w:cs="宋体"/>
                <w:b/>
                <w:sz w:val="21"/>
                <w:szCs w:val="21"/>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66" w:type="dxa"/>
            <w:shd w:val="clear" w:color="000000" w:fill="FFFFFF"/>
            <w:vAlign w:val="center"/>
          </w:tcPr>
          <w:p>
            <w:pPr>
              <w:rPr>
                <w:rFonts w:ascii="宋体" w:hAnsi="宋体" w:cs="宋体"/>
                <w:sz w:val="21"/>
                <w:szCs w:val="21"/>
              </w:rPr>
            </w:pPr>
            <w:r>
              <w:rPr>
                <w:rFonts w:hint="eastAsia" w:ascii="宋体" w:hAnsi="宋体" w:cs="宋体"/>
                <w:sz w:val="21"/>
                <w:szCs w:val="21"/>
              </w:rPr>
              <w:t>应用服务器1</w:t>
            </w:r>
          </w:p>
        </w:tc>
        <w:tc>
          <w:tcPr>
            <w:tcW w:w="1240" w:type="dxa"/>
            <w:shd w:val="clear" w:color="000000" w:fill="FFFFFF"/>
            <w:vAlign w:val="center"/>
          </w:tcPr>
          <w:p>
            <w:pPr>
              <w:rPr>
                <w:rFonts w:ascii="宋体" w:hAnsi="宋体" w:cs="宋体"/>
                <w:sz w:val="21"/>
                <w:szCs w:val="21"/>
              </w:rPr>
            </w:pPr>
            <w:r>
              <w:rPr>
                <w:rFonts w:hint="eastAsia" w:ascii="宋体" w:hAnsi="宋体" w:cs="宋体"/>
                <w:sz w:val="21"/>
                <w:szCs w:val="21"/>
              </w:rPr>
              <w:t>c</w:t>
            </w:r>
            <w:r>
              <w:rPr>
                <w:rFonts w:ascii="宋体" w:hAnsi="宋体" w:cs="宋体"/>
                <w:sz w:val="21"/>
                <w:szCs w:val="21"/>
              </w:rPr>
              <w:t>entos</w:t>
            </w:r>
          </w:p>
        </w:tc>
        <w:tc>
          <w:tcPr>
            <w:tcW w:w="869" w:type="dxa"/>
            <w:shd w:val="clear" w:color="000000" w:fill="FFFFFF"/>
            <w:vAlign w:val="center"/>
          </w:tcPr>
          <w:p>
            <w:pPr>
              <w:rPr>
                <w:rFonts w:ascii="宋体" w:hAnsi="宋体" w:cs="宋体"/>
                <w:sz w:val="21"/>
                <w:szCs w:val="21"/>
              </w:rPr>
            </w:pPr>
            <w:r>
              <w:rPr>
                <w:rFonts w:ascii="宋体" w:hAnsi="宋体" w:cs="宋体"/>
                <w:sz w:val="21"/>
                <w:szCs w:val="21"/>
              </w:rPr>
              <w:t>8</w:t>
            </w:r>
            <w:r>
              <w:rPr>
                <w:rFonts w:hint="eastAsia" w:ascii="宋体" w:hAnsi="宋体" w:cs="宋体"/>
                <w:sz w:val="21"/>
                <w:szCs w:val="21"/>
              </w:rPr>
              <w:t>核</w:t>
            </w:r>
          </w:p>
        </w:tc>
        <w:tc>
          <w:tcPr>
            <w:tcW w:w="1087" w:type="dxa"/>
            <w:shd w:val="clear" w:color="000000" w:fill="FFFFFF"/>
            <w:vAlign w:val="center"/>
          </w:tcPr>
          <w:p>
            <w:pPr>
              <w:rPr>
                <w:rFonts w:ascii="宋体" w:hAnsi="宋体" w:cs="宋体"/>
                <w:sz w:val="21"/>
                <w:szCs w:val="21"/>
              </w:rPr>
            </w:pPr>
            <w:r>
              <w:rPr>
                <w:rFonts w:ascii="宋体" w:hAnsi="宋体" w:cs="宋体"/>
                <w:sz w:val="21"/>
                <w:szCs w:val="21"/>
              </w:rPr>
              <w:t>16</w:t>
            </w:r>
          </w:p>
        </w:tc>
        <w:tc>
          <w:tcPr>
            <w:tcW w:w="1086" w:type="dxa"/>
            <w:shd w:val="clear" w:color="auto" w:fill="auto"/>
            <w:vAlign w:val="center"/>
          </w:tcPr>
          <w:p>
            <w:pPr>
              <w:rPr>
                <w:rFonts w:ascii="宋体" w:hAnsi="宋体" w:cs="宋体"/>
                <w:sz w:val="21"/>
                <w:szCs w:val="21"/>
              </w:rPr>
            </w:pPr>
            <w:r>
              <w:rPr>
                <w:rFonts w:ascii="宋体" w:hAnsi="宋体" w:cs="宋体"/>
                <w:sz w:val="21"/>
                <w:szCs w:val="21"/>
              </w:rPr>
              <w:t>2</w:t>
            </w:r>
            <w:r>
              <w:rPr>
                <w:rFonts w:hint="eastAsia" w:ascii="宋体" w:hAnsi="宋体" w:cs="宋体"/>
                <w:sz w:val="21"/>
                <w:szCs w:val="21"/>
              </w:rPr>
              <w:t>00</w:t>
            </w:r>
          </w:p>
        </w:tc>
        <w:tc>
          <w:tcPr>
            <w:tcW w:w="2286" w:type="dxa"/>
            <w:shd w:val="clear" w:color="000000" w:fill="FFFFFF"/>
            <w:vAlign w:val="center"/>
          </w:tcPr>
          <w:p>
            <w:pPr>
              <w:rPr>
                <w:rFonts w:ascii="宋体" w:hAnsi="宋体" w:cs="宋体"/>
                <w:sz w:val="21"/>
                <w:szCs w:val="21"/>
              </w:rPr>
            </w:pPr>
            <w:r>
              <w:rPr>
                <w:rFonts w:hint="eastAsia" w:ascii="宋体" w:hAnsi="宋体" w:cs="宋体"/>
                <w:sz w:val="21"/>
                <w:szCs w:val="21"/>
              </w:rPr>
              <w:t>视频系统</w:t>
            </w:r>
          </w:p>
        </w:tc>
      </w:tr>
    </w:tbl>
    <w:p>
      <w:pPr>
        <w:pStyle w:val="2"/>
        <w:ind w:left="0" w:leftChars="0" w:firstLine="0" w:firstLineChars="0"/>
        <w:rPr>
          <w:rFonts w:hint="default"/>
          <w:lang w:val="en-US" w:eastAsia="zh-CN"/>
        </w:rPr>
      </w:pPr>
    </w:p>
    <w:p>
      <w:pPr>
        <w:pStyle w:val="2"/>
        <w:numPr>
          <w:ilvl w:val="0"/>
          <w:numId w:val="1"/>
        </w:numPr>
        <w:ind w:left="0" w:leftChars="0" w:firstLine="0" w:firstLineChars="0"/>
        <w:rPr>
          <w:rFonts w:hint="default"/>
          <w:b/>
          <w:bCs/>
          <w:lang w:val="en-US" w:eastAsia="zh-CN"/>
        </w:rPr>
      </w:pPr>
      <w:r>
        <w:rPr>
          <w:rFonts w:hint="default"/>
          <w:b/>
          <w:bCs/>
          <w:lang w:val="en-US" w:eastAsia="zh-CN"/>
        </w:rPr>
        <w:t>运维内容范围与要求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1、日常运维服务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平台日常运维服务通过采取主动的系统运维方案，确保系统的安全、稳定运行，减少运行故障；在系统故障无法避免及突发故障的情况下，也可保证系统能够得到最快的响应和最及时的恢复；适时地对软件系统、数据库系统等进行必要的修改和更新，以保证系统能更好地满足业务需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平台日常运维服务的主要内容有：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（1）应用系统运行状态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（2）数据库运行状态监控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（3）应用中间件系统运行状态监控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（4）在线系统运行状态监测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（5）监控设备在线离线、视频画面、视频遮挡等状态监控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系统服务工程师查看相关的系统日志、应用日志、数据库日志等内容，判断在线系统的运行状态。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2、技术升级及迭代更新</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系统技术升级及迭代更新是系统运行维护的一部分，为了提高系统的运行效率，或者增加系统运行的稳定性，或者提高系统承载应用的能力，需要对应用系统、应用系统相关接口等进行升级工作。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系统升级包括的内容有：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（1）应用系统升级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（2）应用系统相关接口程序升级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（3）主机系统升级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（4）数据库版本升级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（5）应用中间件系统版本升级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（6）存储系统升级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在系统升级过程中，遵循如下的工作规范：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（1）升级原因分析报告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详细分析升级的原因，形成相应的分析报告为以后的系统建设和规划提供素材。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（2）系统扩展、软件升级实施规范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1）《系统升级任务单》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主要是分解系统升级时的各项任务，包括各项任务的责任人和工作标准。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2）升级前的准备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主要的工作有：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通知使用系统的相关单位；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实施人员准备，各个专业的专家级技术人员；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参数准备，包括主机、数据库、应用系统等参数；</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数据备份；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系统升级实施计划；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系统升级相关技术文档；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3）升级实施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按照升级计划准备相关人等，按照升级步骤进行升级工作。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（3）系统、软件测试与总结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按照配置管理规范，填写《配置修改记录表》，并认真编写系统升级的文档，包括升级步骤、备份操作、配置文档等。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3、补丁管理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（1）补丁维护更新</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运维人员定期对补丁维护及时更新最新补丁，最新补丁发布一周之内进行更新，形成系统变更记录表。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（2）补丁库升级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运维人员对服务器的系统安全补丁库升级和病毒库升级，并检查系统内补丁升级情况。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运维人员制定一份漏洞扫描策略，保证定期对平台进行一次漏洞扫描，扫描安排在非工作时间，避免在业务繁忙时执行。运维人员根据扫描结果对实际披露的漏洞进行及时修补。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4、技术定制服务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运维单位根据要求为采购方提供技术咨询、技术方案、技术论证、专家咨询、数据分析、效能评估定级等技术服务。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实现对平台技术问题的响应，指导用户进行系统操作，以及日常技术的运维管理。7*24小时响应技术问题，快速定位和处理相关技术问题，为项目全天全年的不间断运行提供技术保障，以保障业务系统有效运转。</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5、日常巡检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日常巡检是对平台系统进行测试和维护，保障系统最大限度地稳定可靠运行。通过日常巡检，对系统进行整体的性能和功能评估，确保部署资产安全、无流失、人为损坏等情况，通过采取预防措施，对潜在的故障点进行分析诊断，达到预防目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巡检内容包括：</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（1）服务器性能检查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运维人员定期进行系统检查及时发现存在的隐患，并排除发现的故障；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（2）服务器进程检查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每日检查及每周一次检查，重大节假日或重要通信保障期间进行记录；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（3）网络联通性检查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对网络情况巡检进行记录。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6、日常监控★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建立日常监控体系，提供日常监控服务以保障业务系统有效运转，使用自行研发的日常监控软件，对应用系统的运作情况进行实时监控，及早发现问题，排除故障。监控内容主要包括：</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（1）应用进程监控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（2）资源占用情况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7、系统软件维护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系统软件维护包括系统软件性能检查、中间件及第三方管理软件系统日志检查是否有告警信息、数据库备份、系统软件告警检查。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（1）系统软件性能检查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明确系统软件的各项性能指标，对各项指标进行检查记录，并评估分析，得出结论并给予优化建议。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（2）中间件及第三方管理软件系统日志检查、系统软件告警检查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检查中间件及第三方管理软件系统日志、系统软件是否有告警信息，发现问题或隐患及时排查处置,确保系统安全稳定运行。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（3）数据库备份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数据备份是日常维护的重要内容之一。每次进行数据备份操作时填写《数据备份记录》，主要包括：备份时间、备份内容、备份负责人、源文件路径、备份文件路径、备份介质、备份有效性等。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8、服务器运行维护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本项目服务器维护内容包括服务器性能数据分析、服务器安全检查、服务器账号检查。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（1）服务器性能数据分析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对服务器各项性能指标进行检查分析，并给予优化和提升建议。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（2）服务器安全检查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服务器安全检查包括如系统服务、策略、防火墙、防病毒系统、操作系统补丁、用户密码安全、应用安全、磁盘权限等在内的检查项目。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（3）服务器账号检查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查看系统用户账户、密码，发现可疑用户立即登记并禁用，修改其密码，查看其登陆痕迹，用户组中清理其权限；定期对管理员账号密码进行修改。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asciiTheme="minorHAnsi" w:hAnsiTheme="minorHAnsi" w:eastAsiaTheme="minorEastAsia" w:cstheme="minorBidi"/>
          <w:kern w:val="2"/>
          <w:sz w:val="21"/>
          <w:szCs w:val="24"/>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textAlignment w:val="auto"/>
        <w:rPr>
          <w:rFonts w:hint="eastAsia"/>
          <w:b/>
          <w:bCs/>
          <w:lang w:val="en-US" w:eastAsia="zh-CN"/>
        </w:rPr>
      </w:pPr>
      <w:r>
        <w:rPr>
          <w:rFonts w:hint="eastAsia"/>
          <w:b/>
          <w:bCs/>
          <w:lang w:val="en-US" w:eastAsia="zh-CN"/>
        </w:rPr>
        <w:t>三、其他内容与服务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本项目要求对医疗废物智慧监管集成平台提供软件及信息资源运维服务。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1、运维服务原则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1.1建立规范化的管理流程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引入先进的服务理论和服务管理工具，对现在比较流行的ITIL理论进行学习消化，并将它应用到服务体系管理实践中，结合采购方实际情况制定适合本期项目建设的服务管理办法，并在实际工作中严格遵守实施。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2.2高效的售后服务支持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在售后服务的实际操作中要借助先进的服务工具构架统一规划的、高效的服务系统，服务系统要充分体现运维服务管理流程，体现其优越性。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3.3明确的责任分工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服务管理规范的贯彻、服务系统的有效运行需要售后服务工作人员的积极配合，要有明确的责任分工，明确工作人员的任务、责任。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2、运维服务方式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2.1服务方式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1）热线电话咨询服务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提供热线电话帮助服务。采购方可通过内部授权指定的支持人员，通过提供的热线电话获得帮助服务，包括疑难解答、故障定位、故障排除等服务。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2）网络远程维护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提供Internet远程维护服务，可直接通过Internet对系统进行维护和管理，以快速的进行系统诊断和故障排除，充分保障系统的正常和稳定运行。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3）提交服务记录文档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对于每次进行的维护及更新服务，采购方可以对供应商工程师的服务进行反馈，以便根据反馈为用户提供更好的服务。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2.2响应时间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提供工作日5×8小时不间断服务，紧急情况下提供7×24小时远程服务，在接到用户通知后半个小时内应做出响应，2个小时内提供远程维护服务。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3、运维工作流程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根据本项目软件系统维护的特点，制定了工作日维护服务流程。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在非工作日期间，根据采购方系统运行要求设立值班工程师用于在非工作日响应采购方的请求，并提前向采购方提供非工作日期间值班工程师和客户服务经理的联系方式，并保证在非工作日期间值班工程师和客户服务经理的通信方式保持畅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4、运维考核指标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按照运行维护的期限、范围、内容和要求扎实做好运维工作。为保证系统的正常运行，保证项目的顺利执行，特制定如下考核规则。</w:t>
      </w:r>
    </w:p>
    <w:tbl>
      <w:tblPr>
        <w:tblStyle w:val="7"/>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36"/>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pageBreakBefore w:val="0"/>
              <w:widowControl w:val="0"/>
              <w:kinsoku/>
              <w:wordWrap/>
              <w:overflowPunct/>
              <w:topLinePunct w:val="0"/>
              <w:autoSpaceDE/>
              <w:autoSpaceDN/>
              <w:bidi w:val="0"/>
              <w:adjustRightInd/>
              <w:snapToGrid/>
              <w:spacing w:after="60"/>
              <w:textAlignment w:val="auto"/>
              <w:rPr>
                <w:rFonts w:ascii="宋体" w:hAnsi="宋体"/>
              </w:rPr>
            </w:pPr>
            <w:r>
              <w:rPr>
                <w:rFonts w:hint="eastAsia" w:ascii="宋体" w:hAnsi="宋体"/>
              </w:rPr>
              <w:t>序号</w:t>
            </w:r>
          </w:p>
        </w:tc>
        <w:tc>
          <w:tcPr>
            <w:tcW w:w="1236" w:type="dxa"/>
          </w:tcPr>
          <w:p>
            <w:pPr>
              <w:keepNext w:val="0"/>
              <w:keepLines w:val="0"/>
              <w:pageBreakBefore w:val="0"/>
              <w:widowControl w:val="0"/>
              <w:kinsoku/>
              <w:wordWrap/>
              <w:overflowPunct/>
              <w:topLinePunct w:val="0"/>
              <w:autoSpaceDE/>
              <w:autoSpaceDN/>
              <w:bidi w:val="0"/>
              <w:adjustRightInd/>
              <w:snapToGrid/>
              <w:spacing w:after="60"/>
              <w:textAlignment w:val="auto"/>
              <w:rPr>
                <w:rFonts w:ascii="宋体" w:hAnsi="宋体"/>
              </w:rPr>
            </w:pPr>
            <w:r>
              <w:rPr>
                <w:rFonts w:hint="eastAsia" w:ascii="宋体" w:hAnsi="宋体"/>
              </w:rPr>
              <w:t>考核指标</w:t>
            </w:r>
          </w:p>
        </w:tc>
        <w:tc>
          <w:tcPr>
            <w:tcW w:w="6593" w:type="dxa"/>
          </w:tcPr>
          <w:p>
            <w:pPr>
              <w:keepNext w:val="0"/>
              <w:keepLines w:val="0"/>
              <w:pageBreakBefore w:val="0"/>
              <w:widowControl w:val="0"/>
              <w:kinsoku/>
              <w:wordWrap/>
              <w:overflowPunct/>
              <w:topLinePunct w:val="0"/>
              <w:autoSpaceDE/>
              <w:autoSpaceDN/>
              <w:bidi w:val="0"/>
              <w:adjustRightInd/>
              <w:snapToGrid/>
              <w:spacing w:after="60"/>
              <w:textAlignment w:val="auto"/>
              <w:rPr>
                <w:rFonts w:ascii="宋体" w:hAnsi="宋体"/>
              </w:rPr>
            </w:pPr>
            <w:r>
              <w:rPr>
                <w:rFonts w:hint="eastAsia" w:ascii="宋体" w:hAnsi="宋体"/>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keepNext w:val="0"/>
              <w:keepLines w:val="0"/>
              <w:pageBreakBefore w:val="0"/>
              <w:widowControl w:val="0"/>
              <w:kinsoku/>
              <w:wordWrap/>
              <w:overflowPunct/>
              <w:topLinePunct w:val="0"/>
              <w:autoSpaceDE/>
              <w:autoSpaceDN/>
              <w:bidi w:val="0"/>
              <w:adjustRightInd/>
              <w:snapToGrid/>
              <w:spacing w:after="60"/>
              <w:jc w:val="both"/>
              <w:textAlignment w:val="auto"/>
              <w:rPr>
                <w:rFonts w:ascii="宋体" w:hAnsi="宋体"/>
              </w:rPr>
            </w:pPr>
            <w:r>
              <w:rPr>
                <w:rFonts w:hint="eastAsia" w:ascii="宋体" w:hAnsi="宋体"/>
              </w:rPr>
              <w:t>1</w:t>
            </w:r>
          </w:p>
        </w:tc>
        <w:tc>
          <w:tcPr>
            <w:tcW w:w="1236" w:type="dxa"/>
          </w:tcPr>
          <w:p>
            <w:pPr>
              <w:keepNext w:val="0"/>
              <w:keepLines w:val="0"/>
              <w:pageBreakBefore w:val="0"/>
              <w:widowControl w:val="0"/>
              <w:kinsoku/>
              <w:wordWrap/>
              <w:overflowPunct/>
              <w:topLinePunct w:val="0"/>
              <w:autoSpaceDE/>
              <w:autoSpaceDN/>
              <w:bidi w:val="0"/>
              <w:adjustRightInd/>
              <w:snapToGrid/>
              <w:spacing w:after="60"/>
              <w:textAlignment w:val="auto"/>
              <w:rPr>
                <w:rFonts w:ascii="宋体" w:hAnsi="宋体"/>
              </w:rPr>
            </w:pPr>
            <w:r>
              <w:rPr>
                <w:rFonts w:hint="eastAsia" w:ascii="宋体" w:hAnsi="宋体"/>
              </w:rPr>
              <w:t>组织管理</w:t>
            </w:r>
          </w:p>
        </w:tc>
        <w:tc>
          <w:tcPr>
            <w:tcW w:w="6593" w:type="dxa"/>
          </w:tcPr>
          <w:p>
            <w:pPr>
              <w:keepNext w:val="0"/>
              <w:keepLines w:val="0"/>
              <w:pageBreakBefore w:val="0"/>
              <w:widowControl w:val="0"/>
              <w:kinsoku/>
              <w:wordWrap/>
              <w:overflowPunct/>
              <w:topLinePunct w:val="0"/>
              <w:autoSpaceDE/>
              <w:autoSpaceDN/>
              <w:bidi w:val="0"/>
              <w:adjustRightInd/>
              <w:snapToGrid/>
              <w:spacing w:after="60"/>
              <w:textAlignment w:val="auto"/>
              <w:rPr>
                <w:rFonts w:ascii="宋体" w:hAnsi="宋体"/>
              </w:rPr>
            </w:pPr>
            <w:r>
              <w:rPr>
                <w:rFonts w:hint="eastAsia" w:ascii="宋体" w:hAnsi="宋体"/>
              </w:rPr>
              <w:t>服务团队人员稳定，运维工程师如有更替须征得采购方同意。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keepNext w:val="0"/>
              <w:keepLines w:val="0"/>
              <w:pageBreakBefore w:val="0"/>
              <w:widowControl w:val="0"/>
              <w:kinsoku/>
              <w:wordWrap/>
              <w:overflowPunct/>
              <w:topLinePunct w:val="0"/>
              <w:autoSpaceDE/>
              <w:autoSpaceDN/>
              <w:bidi w:val="0"/>
              <w:adjustRightInd/>
              <w:snapToGrid/>
              <w:spacing w:after="60"/>
              <w:jc w:val="both"/>
              <w:textAlignment w:val="auto"/>
              <w:rPr>
                <w:rFonts w:ascii="宋体" w:hAnsi="宋体"/>
              </w:rPr>
            </w:pPr>
            <w:r>
              <w:rPr>
                <w:rFonts w:hint="eastAsia" w:ascii="宋体" w:hAnsi="宋体"/>
              </w:rPr>
              <w:t>2</w:t>
            </w:r>
          </w:p>
        </w:tc>
        <w:tc>
          <w:tcPr>
            <w:tcW w:w="1236" w:type="dxa"/>
          </w:tcPr>
          <w:p>
            <w:pPr>
              <w:keepNext w:val="0"/>
              <w:keepLines w:val="0"/>
              <w:pageBreakBefore w:val="0"/>
              <w:widowControl w:val="0"/>
              <w:kinsoku/>
              <w:wordWrap/>
              <w:overflowPunct/>
              <w:topLinePunct w:val="0"/>
              <w:autoSpaceDE/>
              <w:autoSpaceDN/>
              <w:bidi w:val="0"/>
              <w:adjustRightInd/>
              <w:snapToGrid/>
              <w:spacing w:after="60"/>
              <w:textAlignment w:val="auto"/>
              <w:rPr>
                <w:rFonts w:ascii="宋体" w:hAnsi="宋体"/>
              </w:rPr>
            </w:pPr>
            <w:r>
              <w:rPr>
                <w:rFonts w:hint="eastAsia" w:ascii="宋体" w:hAnsi="宋体"/>
              </w:rPr>
              <w:t>服务响应</w:t>
            </w:r>
          </w:p>
        </w:tc>
        <w:tc>
          <w:tcPr>
            <w:tcW w:w="6593" w:type="dxa"/>
          </w:tcPr>
          <w:p>
            <w:pPr>
              <w:keepNext w:val="0"/>
              <w:keepLines w:val="0"/>
              <w:pageBreakBefore w:val="0"/>
              <w:widowControl w:val="0"/>
              <w:kinsoku/>
              <w:wordWrap/>
              <w:overflowPunct/>
              <w:topLinePunct w:val="0"/>
              <w:autoSpaceDE/>
              <w:autoSpaceDN/>
              <w:bidi w:val="0"/>
              <w:adjustRightInd/>
              <w:snapToGrid/>
              <w:spacing w:after="60"/>
              <w:textAlignment w:val="auto"/>
              <w:rPr>
                <w:rFonts w:ascii="宋体" w:hAnsi="宋体"/>
              </w:rPr>
            </w:pPr>
            <w:r>
              <w:rPr>
                <w:rFonts w:hint="eastAsia" w:ascii="宋体" w:hAnsi="宋体"/>
              </w:rPr>
              <w:t>按照故障响应及时性要求，服务到位。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keepNext w:val="0"/>
              <w:keepLines w:val="0"/>
              <w:pageBreakBefore w:val="0"/>
              <w:widowControl w:val="0"/>
              <w:kinsoku/>
              <w:wordWrap/>
              <w:overflowPunct/>
              <w:topLinePunct w:val="0"/>
              <w:autoSpaceDE/>
              <w:autoSpaceDN/>
              <w:bidi w:val="0"/>
              <w:adjustRightInd/>
              <w:snapToGrid/>
              <w:spacing w:after="60"/>
              <w:jc w:val="both"/>
              <w:textAlignment w:val="auto"/>
              <w:rPr>
                <w:rFonts w:ascii="宋体" w:hAnsi="宋体"/>
              </w:rPr>
            </w:pPr>
            <w:r>
              <w:rPr>
                <w:rFonts w:hint="eastAsia" w:ascii="宋体" w:hAnsi="宋体"/>
              </w:rPr>
              <w:t>3</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after="60"/>
              <w:jc w:val="both"/>
              <w:textAlignment w:val="auto"/>
              <w:rPr>
                <w:rFonts w:ascii="宋体" w:hAnsi="宋体"/>
              </w:rPr>
            </w:pPr>
            <w:r>
              <w:rPr>
                <w:rFonts w:hint="eastAsia" w:ascii="宋体" w:hAnsi="宋体"/>
              </w:rPr>
              <w:t>运维月报</w:t>
            </w:r>
          </w:p>
        </w:tc>
        <w:tc>
          <w:tcPr>
            <w:tcW w:w="6593" w:type="dxa"/>
          </w:tcPr>
          <w:p>
            <w:pPr>
              <w:keepNext w:val="0"/>
              <w:keepLines w:val="0"/>
              <w:pageBreakBefore w:val="0"/>
              <w:widowControl w:val="0"/>
              <w:kinsoku/>
              <w:wordWrap/>
              <w:overflowPunct/>
              <w:topLinePunct w:val="0"/>
              <w:autoSpaceDE/>
              <w:autoSpaceDN/>
              <w:bidi w:val="0"/>
              <w:adjustRightInd/>
              <w:snapToGrid/>
              <w:spacing w:after="60"/>
              <w:textAlignment w:val="auto"/>
              <w:rPr>
                <w:rFonts w:ascii="宋体" w:hAnsi="宋体"/>
              </w:rPr>
            </w:pPr>
            <w:r>
              <w:rPr>
                <w:rFonts w:hint="eastAsia" w:ascii="宋体" w:hAnsi="宋体"/>
              </w:rPr>
              <w:t>按月提供详细的运维月度报，详细记录服务内容、服务完成情况、允许状态、解决存在问题及建议。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keepNext w:val="0"/>
              <w:keepLines w:val="0"/>
              <w:pageBreakBefore w:val="0"/>
              <w:widowControl w:val="0"/>
              <w:kinsoku/>
              <w:wordWrap/>
              <w:overflowPunct/>
              <w:topLinePunct w:val="0"/>
              <w:autoSpaceDE/>
              <w:autoSpaceDN/>
              <w:bidi w:val="0"/>
              <w:adjustRightInd/>
              <w:snapToGrid/>
              <w:spacing w:after="60"/>
              <w:jc w:val="both"/>
              <w:textAlignment w:val="auto"/>
              <w:rPr>
                <w:rFonts w:ascii="宋体" w:hAnsi="宋体"/>
              </w:rPr>
            </w:pPr>
            <w:r>
              <w:rPr>
                <w:rFonts w:hint="eastAsia" w:ascii="宋体" w:hAnsi="宋体"/>
              </w:rPr>
              <w:t>4</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after="60"/>
              <w:jc w:val="both"/>
              <w:textAlignment w:val="auto"/>
              <w:rPr>
                <w:rFonts w:ascii="宋体" w:hAnsi="宋体"/>
              </w:rPr>
            </w:pPr>
            <w:r>
              <w:rPr>
                <w:rFonts w:hint="eastAsia" w:ascii="宋体" w:hAnsi="宋体"/>
              </w:rPr>
              <w:t>问题记录</w:t>
            </w:r>
          </w:p>
        </w:tc>
        <w:tc>
          <w:tcPr>
            <w:tcW w:w="6593" w:type="dxa"/>
          </w:tcPr>
          <w:p>
            <w:pPr>
              <w:keepNext w:val="0"/>
              <w:keepLines w:val="0"/>
              <w:pageBreakBefore w:val="0"/>
              <w:widowControl w:val="0"/>
              <w:kinsoku/>
              <w:wordWrap/>
              <w:overflowPunct/>
              <w:topLinePunct w:val="0"/>
              <w:autoSpaceDE/>
              <w:autoSpaceDN/>
              <w:bidi w:val="0"/>
              <w:adjustRightInd/>
              <w:snapToGrid/>
              <w:spacing w:after="60"/>
              <w:textAlignment w:val="auto"/>
              <w:rPr>
                <w:rFonts w:ascii="宋体" w:hAnsi="宋体"/>
              </w:rPr>
            </w:pPr>
            <w:r>
              <w:rPr>
                <w:rFonts w:hint="eastAsia" w:ascii="宋体" w:hAnsi="宋体"/>
              </w:rPr>
              <w:t>详细记录每一个运维问题，包括问题描述、处理情况及优化方案。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keepNext w:val="0"/>
              <w:keepLines w:val="0"/>
              <w:pageBreakBefore w:val="0"/>
              <w:widowControl w:val="0"/>
              <w:kinsoku/>
              <w:wordWrap/>
              <w:overflowPunct/>
              <w:topLinePunct w:val="0"/>
              <w:autoSpaceDE/>
              <w:autoSpaceDN/>
              <w:bidi w:val="0"/>
              <w:adjustRightInd/>
              <w:snapToGrid/>
              <w:spacing w:after="60"/>
              <w:jc w:val="both"/>
              <w:textAlignment w:val="auto"/>
              <w:rPr>
                <w:rFonts w:ascii="宋体" w:hAnsi="宋体"/>
              </w:rPr>
            </w:pPr>
            <w:r>
              <w:rPr>
                <w:rFonts w:hint="eastAsia" w:ascii="宋体" w:hAnsi="宋体"/>
              </w:rPr>
              <w:t>5</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after="60"/>
              <w:jc w:val="both"/>
              <w:textAlignment w:val="auto"/>
              <w:rPr>
                <w:rFonts w:ascii="宋体" w:hAnsi="宋体"/>
              </w:rPr>
            </w:pPr>
            <w:r>
              <w:rPr>
                <w:rFonts w:hint="eastAsia" w:ascii="宋体" w:hAnsi="宋体"/>
              </w:rPr>
              <w:t>系统巡检</w:t>
            </w:r>
          </w:p>
        </w:tc>
        <w:tc>
          <w:tcPr>
            <w:tcW w:w="6593" w:type="dxa"/>
          </w:tcPr>
          <w:p>
            <w:pPr>
              <w:keepNext w:val="0"/>
              <w:keepLines w:val="0"/>
              <w:pageBreakBefore w:val="0"/>
              <w:widowControl w:val="0"/>
              <w:kinsoku/>
              <w:wordWrap/>
              <w:overflowPunct/>
              <w:topLinePunct w:val="0"/>
              <w:autoSpaceDE/>
              <w:autoSpaceDN/>
              <w:bidi w:val="0"/>
              <w:adjustRightInd/>
              <w:snapToGrid/>
              <w:spacing w:after="60"/>
              <w:textAlignment w:val="auto"/>
              <w:rPr>
                <w:rFonts w:ascii="宋体" w:hAnsi="宋体"/>
              </w:rPr>
            </w:pPr>
            <w:r>
              <w:rPr>
                <w:rFonts w:hint="eastAsia" w:ascii="宋体" w:hAnsi="宋体"/>
              </w:rPr>
              <w:t>按月定期进行系统巡检，巡检记录清楚，包括巡检内容、异常描述、解决方案。</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5、运维工作目标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1.确保设备运行率达到 99%以上；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2.确保所运维的监控设施运行率达 99%以上；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3.确保数据传输有效率达 99%以上；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4.确保有效数据准确率达 99%以上；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5.确保应急预案报警准确率达 90%以上；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6.确保工况报警准确率达 90%以上；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60"/>
        <w:ind w:leftChars="0" w:firstLine="420" w:firstLineChars="200"/>
        <w:textAlignment w:val="auto"/>
        <w:rPr>
          <w:rFonts w:hint="eastAsia"/>
          <w:lang w:val="en-US" w:eastAsia="zh-CN"/>
        </w:rPr>
      </w:pPr>
      <w:r>
        <w:rPr>
          <w:rFonts w:hint="eastAsia"/>
          <w:lang w:val="en-US" w:eastAsia="zh-CN"/>
        </w:rPr>
        <w:t>7.确保平台核心业务的正常使用率达 95%以上。</w:t>
      </w:r>
    </w:p>
    <w:p>
      <w:pPr>
        <w:pStyle w:val="2"/>
        <w:ind w:left="0" w:leftChars="0" w:firstLine="0" w:firstLineChars="0"/>
        <w:rPr>
          <w:rFonts w:hint="default"/>
          <w:lang w:val="en-US" w:eastAsia="zh-CN"/>
        </w:rPr>
      </w:pPr>
    </w:p>
    <w:p>
      <w:pPr>
        <w:rPr>
          <w:rFonts w:hint="eastAsia"/>
          <w:lang w:val="en-US" w:eastAsia="zh-CN"/>
        </w:rPr>
      </w:pPr>
      <w:r>
        <w:rPr>
          <w:rFonts w:hint="eastAsia"/>
          <w:lang w:val="en-US" w:eastAsia="zh-CN"/>
        </w:rPr>
        <w:t>报价单：</w:t>
      </w:r>
    </w:p>
    <w:tbl>
      <w:tblPr>
        <w:tblStyle w:val="6"/>
        <w:tblpPr w:leftFromText="180" w:rightFromText="180" w:vertAnchor="text" w:horzAnchor="page" w:tblpXSpec="center" w:tblpY="375"/>
        <w:tblOverlap w:val="never"/>
        <w:tblW w:w="10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437"/>
        <w:gridCol w:w="848"/>
        <w:gridCol w:w="918"/>
        <w:gridCol w:w="1120"/>
        <w:gridCol w:w="1197"/>
        <w:gridCol w:w="1197"/>
        <w:gridCol w:w="104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788" w:type="dxa"/>
            <w:noWrap w:val="0"/>
            <w:vAlign w:val="center"/>
          </w:tcPr>
          <w:p>
            <w:pPr>
              <w:spacing w:line="360" w:lineRule="auto"/>
              <w:jc w:val="center"/>
              <w:rPr>
                <w:rFonts w:hint="eastAsia" w:ascii="宋体" w:hAnsi="宋体" w:cs="宋体"/>
                <w:b w:val="0"/>
                <w:bCs w:val="0"/>
                <w:color w:val="auto"/>
                <w:szCs w:val="21"/>
              </w:rPr>
            </w:pPr>
            <w:r>
              <w:rPr>
                <w:rFonts w:hint="eastAsia" w:ascii="宋体" w:hAnsi="宋体" w:cs="宋体"/>
                <w:b w:val="0"/>
                <w:bCs w:val="0"/>
                <w:color w:val="auto"/>
                <w:szCs w:val="21"/>
              </w:rPr>
              <w:t>序号</w:t>
            </w:r>
          </w:p>
        </w:tc>
        <w:tc>
          <w:tcPr>
            <w:tcW w:w="2437" w:type="dxa"/>
            <w:noWrap w:val="0"/>
            <w:vAlign w:val="center"/>
          </w:tcPr>
          <w:p>
            <w:pPr>
              <w:spacing w:line="360" w:lineRule="auto"/>
              <w:jc w:val="center"/>
              <w:rPr>
                <w:rFonts w:hint="eastAsia" w:ascii="宋体" w:hAnsi="宋体" w:cs="宋体"/>
                <w:b w:val="0"/>
                <w:bCs w:val="0"/>
                <w:color w:val="auto"/>
                <w:szCs w:val="21"/>
              </w:rPr>
            </w:pPr>
            <w:r>
              <w:rPr>
                <w:rFonts w:hint="eastAsia" w:ascii="宋体" w:hAnsi="宋体" w:cs="宋体"/>
                <w:b w:val="0"/>
                <w:bCs w:val="0"/>
                <w:color w:val="auto"/>
                <w:szCs w:val="21"/>
              </w:rPr>
              <w:t>项 目 内 容</w:t>
            </w:r>
          </w:p>
        </w:tc>
        <w:tc>
          <w:tcPr>
            <w:tcW w:w="848" w:type="dxa"/>
            <w:noWrap w:val="0"/>
            <w:vAlign w:val="center"/>
          </w:tcPr>
          <w:p>
            <w:pPr>
              <w:spacing w:line="360" w:lineRule="auto"/>
              <w:jc w:val="center"/>
              <w:rPr>
                <w:rFonts w:hint="eastAsia" w:ascii="宋体" w:hAnsi="宋体" w:cs="宋体"/>
                <w:b w:val="0"/>
                <w:bCs w:val="0"/>
                <w:color w:val="auto"/>
                <w:szCs w:val="21"/>
              </w:rPr>
            </w:pPr>
            <w:r>
              <w:rPr>
                <w:rFonts w:hint="eastAsia" w:ascii="宋体" w:hAnsi="宋体" w:cs="宋体"/>
                <w:b w:val="0"/>
                <w:bCs w:val="0"/>
                <w:color w:val="auto"/>
                <w:szCs w:val="21"/>
              </w:rPr>
              <w:t>单位</w:t>
            </w:r>
          </w:p>
        </w:tc>
        <w:tc>
          <w:tcPr>
            <w:tcW w:w="918" w:type="dxa"/>
            <w:noWrap w:val="0"/>
            <w:vAlign w:val="center"/>
          </w:tcPr>
          <w:p>
            <w:pPr>
              <w:spacing w:line="360" w:lineRule="auto"/>
              <w:jc w:val="center"/>
              <w:rPr>
                <w:rFonts w:hint="eastAsia" w:ascii="宋体" w:hAnsi="宋体" w:cs="宋体"/>
                <w:b w:val="0"/>
                <w:bCs w:val="0"/>
                <w:color w:val="auto"/>
                <w:szCs w:val="21"/>
              </w:rPr>
            </w:pPr>
            <w:r>
              <w:rPr>
                <w:rFonts w:hint="eastAsia" w:ascii="宋体" w:hAnsi="宋体" w:cs="宋体"/>
                <w:b w:val="0"/>
                <w:bCs/>
                <w:color w:val="auto"/>
                <w:szCs w:val="21"/>
              </w:rPr>
              <w:t>数量</w:t>
            </w:r>
          </w:p>
        </w:tc>
        <w:tc>
          <w:tcPr>
            <w:tcW w:w="1120" w:type="dxa"/>
            <w:noWrap w:val="0"/>
            <w:vAlign w:val="center"/>
          </w:tcPr>
          <w:p>
            <w:pPr>
              <w:spacing w:line="360" w:lineRule="auto"/>
              <w:jc w:val="center"/>
              <w:rPr>
                <w:rFonts w:hint="eastAsia" w:ascii="宋体" w:hAnsi="宋体" w:cs="宋体"/>
                <w:b w:val="0"/>
                <w:bCs w:val="0"/>
                <w:color w:val="auto"/>
                <w:szCs w:val="21"/>
              </w:rPr>
            </w:pPr>
            <w:r>
              <w:rPr>
                <w:rFonts w:hint="eastAsia" w:ascii="宋体" w:hAnsi="宋体" w:cs="宋体"/>
                <w:b w:val="0"/>
                <w:bCs w:val="0"/>
                <w:color w:val="auto"/>
                <w:szCs w:val="21"/>
                <w:lang w:val="en-US" w:eastAsia="zh-CN"/>
              </w:rPr>
              <w:t>限价</w:t>
            </w:r>
            <w:r>
              <w:rPr>
                <w:rFonts w:hint="eastAsia" w:ascii="宋体" w:hAnsi="宋体" w:cs="宋体"/>
                <w:b w:val="0"/>
                <w:bCs w:val="0"/>
                <w:color w:val="auto"/>
                <w:szCs w:val="21"/>
              </w:rPr>
              <w:t>单价（</w:t>
            </w:r>
            <w:r>
              <w:rPr>
                <w:rFonts w:hint="eastAsia" w:ascii="宋体" w:hAnsi="宋体" w:cs="宋体"/>
                <w:b w:val="0"/>
                <w:bCs w:val="0"/>
                <w:color w:val="auto"/>
                <w:szCs w:val="21"/>
                <w:lang w:val="en-US" w:eastAsia="zh-CN"/>
              </w:rPr>
              <w:t>元/年</w:t>
            </w:r>
            <w:r>
              <w:rPr>
                <w:rFonts w:hint="eastAsia" w:ascii="宋体" w:hAnsi="宋体" w:cs="宋体"/>
                <w:b w:val="0"/>
                <w:bCs w:val="0"/>
                <w:color w:val="auto"/>
                <w:szCs w:val="21"/>
              </w:rPr>
              <w:t>）</w:t>
            </w:r>
          </w:p>
        </w:tc>
        <w:tc>
          <w:tcPr>
            <w:tcW w:w="1197" w:type="dxa"/>
            <w:noWrap w:val="0"/>
            <w:vAlign w:val="center"/>
          </w:tcPr>
          <w:p>
            <w:pPr>
              <w:spacing w:line="360" w:lineRule="auto"/>
              <w:jc w:val="center"/>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报价</w:t>
            </w:r>
            <w:r>
              <w:rPr>
                <w:rFonts w:hint="eastAsia" w:ascii="宋体" w:hAnsi="宋体" w:cs="宋体"/>
                <w:b w:val="0"/>
                <w:bCs w:val="0"/>
                <w:color w:val="auto"/>
                <w:szCs w:val="21"/>
              </w:rPr>
              <w:t>单价（</w:t>
            </w:r>
            <w:r>
              <w:rPr>
                <w:rFonts w:hint="eastAsia" w:ascii="宋体" w:hAnsi="宋体" w:cs="宋体"/>
                <w:b w:val="0"/>
                <w:bCs w:val="0"/>
                <w:color w:val="auto"/>
                <w:szCs w:val="21"/>
                <w:lang w:val="en-US" w:eastAsia="zh-CN"/>
              </w:rPr>
              <w:t>元/年</w:t>
            </w:r>
            <w:r>
              <w:rPr>
                <w:rFonts w:hint="eastAsia" w:ascii="宋体" w:hAnsi="宋体" w:cs="宋体"/>
                <w:b w:val="0"/>
                <w:bCs w:val="0"/>
                <w:color w:val="auto"/>
                <w:szCs w:val="21"/>
              </w:rPr>
              <w:t>）</w:t>
            </w:r>
          </w:p>
        </w:tc>
        <w:tc>
          <w:tcPr>
            <w:tcW w:w="1197" w:type="dxa"/>
            <w:noWrap w:val="0"/>
            <w:vAlign w:val="center"/>
          </w:tcPr>
          <w:p>
            <w:pPr>
              <w:spacing w:line="360" w:lineRule="auto"/>
              <w:rPr>
                <w:rFonts w:hint="eastAsia" w:ascii="宋体" w:hAnsi="宋体" w:cs="宋体"/>
                <w:b w:val="0"/>
                <w:bCs w:val="0"/>
                <w:color w:val="auto"/>
                <w:szCs w:val="21"/>
              </w:rPr>
            </w:pPr>
            <w:r>
              <w:rPr>
                <w:rFonts w:hint="eastAsia" w:ascii="宋体" w:hAnsi="宋体" w:cs="宋体"/>
                <w:b w:val="0"/>
                <w:bCs w:val="0"/>
                <w:color w:val="auto"/>
                <w:szCs w:val="21"/>
              </w:rPr>
              <w:t xml:space="preserve"> </w:t>
            </w:r>
            <w:r>
              <w:rPr>
                <w:rFonts w:hint="eastAsia" w:ascii="宋体" w:hAnsi="宋体" w:cs="宋体"/>
                <w:b w:val="0"/>
                <w:bCs w:val="0"/>
                <w:color w:val="auto"/>
                <w:szCs w:val="21"/>
                <w:lang w:val="en-US" w:eastAsia="zh-CN"/>
              </w:rPr>
              <w:t>一年</w:t>
            </w:r>
            <w:r>
              <w:rPr>
                <w:rFonts w:hint="eastAsia" w:ascii="宋体" w:hAnsi="宋体" w:cs="宋体"/>
                <w:b w:val="0"/>
                <w:bCs w:val="0"/>
                <w:color w:val="auto"/>
                <w:szCs w:val="21"/>
              </w:rPr>
              <w:t>总价（</w:t>
            </w:r>
            <w:r>
              <w:rPr>
                <w:rFonts w:hint="eastAsia" w:ascii="宋体" w:hAnsi="宋体" w:cs="宋体"/>
                <w:b w:val="0"/>
                <w:bCs w:val="0"/>
                <w:color w:val="auto"/>
                <w:szCs w:val="21"/>
                <w:lang w:val="en-US" w:eastAsia="zh-CN"/>
              </w:rPr>
              <w:t>元/年</w:t>
            </w:r>
            <w:r>
              <w:rPr>
                <w:rFonts w:hint="eastAsia" w:ascii="宋体" w:hAnsi="宋体" w:cs="宋体"/>
                <w:b w:val="0"/>
                <w:bCs w:val="0"/>
                <w:color w:val="auto"/>
                <w:szCs w:val="21"/>
              </w:rPr>
              <w:t>）</w:t>
            </w:r>
          </w:p>
        </w:tc>
        <w:tc>
          <w:tcPr>
            <w:tcW w:w="1046" w:type="dxa"/>
            <w:noWrap w:val="0"/>
            <w:vAlign w:val="center"/>
          </w:tcPr>
          <w:p>
            <w:pPr>
              <w:spacing w:line="360" w:lineRule="auto"/>
              <w:rPr>
                <w:rFonts w:hint="eastAsia" w:ascii="宋体" w:hAnsi="宋体" w:cs="宋体"/>
                <w:b w:val="0"/>
                <w:bCs w:val="0"/>
                <w:color w:val="auto"/>
                <w:szCs w:val="21"/>
              </w:rPr>
            </w:pPr>
            <w:r>
              <w:rPr>
                <w:rFonts w:hint="eastAsia" w:ascii="宋体" w:hAnsi="宋体" w:cs="宋体"/>
                <w:b w:val="0"/>
                <w:bCs w:val="0"/>
                <w:color w:val="auto"/>
                <w:szCs w:val="21"/>
                <w:lang w:val="en-US" w:eastAsia="zh-CN"/>
              </w:rPr>
              <w:t>二年</w:t>
            </w:r>
            <w:r>
              <w:rPr>
                <w:rFonts w:hint="eastAsia" w:ascii="宋体" w:hAnsi="宋体" w:cs="宋体"/>
                <w:b w:val="0"/>
                <w:bCs w:val="0"/>
                <w:color w:val="auto"/>
                <w:szCs w:val="21"/>
              </w:rPr>
              <w:t>总价（</w:t>
            </w:r>
            <w:r>
              <w:rPr>
                <w:rFonts w:hint="eastAsia" w:ascii="宋体" w:hAnsi="宋体" w:cs="宋体"/>
                <w:b w:val="0"/>
                <w:bCs w:val="0"/>
                <w:color w:val="auto"/>
                <w:szCs w:val="21"/>
                <w:lang w:val="en-US" w:eastAsia="zh-CN"/>
              </w:rPr>
              <w:t>元/年</w:t>
            </w:r>
            <w:r>
              <w:rPr>
                <w:rFonts w:hint="eastAsia" w:ascii="宋体" w:hAnsi="宋体" w:cs="宋体"/>
                <w:b w:val="0"/>
                <w:bCs w:val="0"/>
                <w:color w:val="auto"/>
                <w:szCs w:val="21"/>
              </w:rPr>
              <w:t>）</w:t>
            </w:r>
          </w:p>
        </w:tc>
        <w:tc>
          <w:tcPr>
            <w:tcW w:w="1046" w:type="dxa"/>
            <w:noWrap w:val="0"/>
            <w:vAlign w:val="center"/>
          </w:tcPr>
          <w:p>
            <w:pPr>
              <w:spacing w:line="360" w:lineRule="auto"/>
              <w:jc w:val="center"/>
              <w:rPr>
                <w:rFonts w:hint="eastAsia" w:ascii="宋体" w:hAnsi="宋体" w:cs="宋体"/>
                <w:b w:val="0"/>
                <w:bCs w:val="0"/>
                <w:color w:val="auto"/>
                <w:szCs w:val="21"/>
              </w:rPr>
            </w:pPr>
            <w:r>
              <w:rPr>
                <w:rFonts w:hint="eastAsia" w:ascii="宋体" w:hAnsi="宋体" w:cs="宋体"/>
                <w:b w:val="0"/>
                <w:bCs w:val="0"/>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788" w:type="dxa"/>
            <w:noWrap w:val="0"/>
            <w:vAlign w:val="center"/>
          </w:tcPr>
          <w:p>
            <w:pPr>
              <w:spacing w:line="360" w:lineRule="auto"/>
              <w:jc w:val="center"/>
              <w:rPr>
                <w:rFonts w:hint="eastAsia" w:ascii="宋体" w:hAnsi="宋体" w:cs="宋体"/>
                <w:b w:val="0"/>
                <w:bCs w:val="0"/>
                <w:color w:val="auto"/>
                <w:szCs w:val="21"/>
              </w:rPr>
            </w:pPr>
            <w:r>
              <w:rPr>
                <w:rFonts w:hint="eastAsia" w:ascii="宋体" w:hAnsi="宋体" w:cs="宋体"/>
                <w:b w:val="0"/>
                <w:bCs w:val="0"/>
                <w:color w:val="auto"/>
                <w:szCs w:val="21"/>
              </w:rPr>
              <w:t>1</w:t>
            </w:r>
          </w:p>
        </w:tc>
        <w:tc>
          <w:tcPr>
            <w:tcW w:w="2437" w:type="dxa"/>
            <w:noWrap w:val="0"/>
            <w:vAlign w:val="center"/>
          </w:tcPr>
          <w:p>
            <w:pPr>
              <w:spacing w:line="360" w:lineRule="auto"/>
              <w:jc w:val="center"/>
              <w:rPr>
                <w:rFonts w:hint="default" w:ascii="宋体" w:hAnsi="宋体" w:cs="宋体"/>
                <w:b w:val="0"/>
                <w:bCs w:val="0"/>
                <w:color w:val="auto"/>
                <w:szCs w:val="21"/>
                <w:lang w:val="en-US"/>
              </w:rPr>
            </w:pPr>
            <w:r>
              <w:rPr>
                <w:rFonts w:hint="eastAsia" w:ascii="宋体" w:hAnsi="宋体" w:cs="宋体"/>
                <w:b w:val="0"/>
                <w:bCs w:val="0"/>
                <w:color w:val="auto"/>
                <w:szCs w:val="21"/>
                <w:lang w:val="en-US" w:eastAsia="zh-CN"/>
              </w:rPr>
              <w:t>视频摄像头运维点位</w:t>
            </w:r>
          </w:p>
        </w:tc>
        <w:tc>
          <w:tcPr>
            <w:tcW w:w="848" w:type="dxa"/>
            <w:noWrap w:val="0"/>
            <w:vAlign w:val="center"/>
          </w:tcPr>
          <w:p>
            <w:pPr>
              <w:spacing w:line="360" w:lineRule="auto"/>
              <w:jc w:val="center"/>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rPr>
              <w:t xml:space="preserve">台                     </w:t>
            </w:r>
          </w:p>
        </w:tc>
        <w:tc>
          <w:tcPr>
            <w:tcW w:w="918" w:type="dxa"/>
            <w:noWrap w:val="0"/>
            <w:vAlign w:val="center"/>
          </w:tcPr>
          <w:p>
            <w:pPr>
              <w:spacing w:line="360" w:lineRule="auto"/>
              <w:jc w:val="center"/>
              <w:rPr>
                <w:rFonts w:hint="default" w:ascii="宋体" w:hAnsi="宋体" w:cs="宋体"/>
                <w:b w:val="0"/>
                <w:bCs w:val="0"/>
                <w:color w:val="auto"/>
                <w:szCs w:val="21"/>
                <w:lang w:val="en-US"/>
              </w:rPr>
            </w:pPr>
            <w:r>
              <w:rPr>
                <w:rFonts w:hint="eastAsia" w:ascii="宋体" w:hAnsi="宋体" w:cs="宋体"/>
                <w:b w:val="0"/>
                <w:bCs/>
                <w:color w:val="auto"/>
                <w:szCs w:val="21"/>
                <w:lang w:val="en-US" w:eastAsia="zh-CN"/>
              </w:rPr>
              <w:t>11</w:t>
            </w:r>
          </w:p>
        </w:tc>
        <w:tc>
          <w:tcPr>
            <w:tcW w:w="1120" w:type="dxa"/>
            <w:noWrap w:val="0"/>
            <w:vAlign w:val="center"/>
          </w:tcPr>
          <w:p>
            <w:pPr>
              <w:spacing w:line="360" w:lineRule="auto"/>
              <w:jc w:val="center"/>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550</w:t>
            </w:r>
          </w:p>
        </w:tc>
        <w:tc>
          <w:tcPr>
            <w:tcW w:w="1197" w:type="dxa"/>
            <w:noWrap w:val="0"/>
            <w:vAlign w:val="center"/>
          </w:tcPr>
          <w:p>
            <w:pPr>
              <w:spacing w:line="360" w:lineRule="auto"/>
              <w:jc w:val="center"/>
              <w:rPr>
                <w:rFonts w:hint="eastAsia" w:ascii="宋体" w:hAnsi="宋体" w:eastAsia="宋体" w:cs="宋体"/>
                <w:b w:val="0"/>
                <w:bCs w:val="0"/>
                <w:color w:val="auto"/>
                <w:szCs w:val="21"/>
                <w:lang w:val="en-US" w:eastAsia="zh-CN"/>
              </w:rPr>
            </w:pPr>
          </w:p>
        </w:tc>
        <w:tc>
          <w:tcPr>
            <w:tcW w:w="1197" w:type="dxa"/>
            <w:noWrap w:val="0"/>
            <w:vAlign w:val="center"/>
          </w:tcPr>
          <w:p>
            <w:pPr>
              <w:spacing w:line="360" w:lineRule="auto"/>
              <w:jc w:val="center"/>
              <w:rPr>
                <w:rFonts w:hint="default" w:ascii="宋体" w:hAnsi="宋体" w:eastAsia="宋体" w:cs="宋体"/>
                <w:b w:val="0"/>
                <w:bCs w:val="0"/>
                <w:color w:val="auto"/>
                <w:szCs w:val="21"/>
                <w:lang w:val="en-US" w:eastAsia="zh-CN"/>
              </w:rPr>
            </w:pPr>
          </w:p>
        </w:tc>
        <w:tc>
          <w:tcPr>
            <w:tcW w:w="1046" w:type="dxa"/>
            <w:noWrap w:val="0"/>
            <w:vAlign w:val="center"/>
          </w:tcPr>
          <w:p>
            <w:pPr>
              <w:spacing w:line="360" w:lineRule="auto"/>
              <w:jc w:val="center"/>
              <w:rPr>
                <w:rFonts w:hint="default" w:ascii="宋体" w:hAnsi="宋体" w:eastAsia="宋体" w:cs="宋体"/>
                <w:b w:val="0"/>
                <w:bCs w:val="0"/>
                <w:color w:val="auto"/>
                <w:szCs w:val="21"/>
                <w:lang w:val="en-US" w:eastAsia="zh-CN"/>
              </w:rPr>
            </w:pPr>
          </w:p>
        </w:tc>
        <w:tc>
          <w:tcPr>
            <w:tcW w:w="1046" w:type="dxa"/>
            <w:noWrap w:val="0"/>
            <w:vAlign w:val="center"/>
          </w:tcPr>
          <w:p>
            <w:pPr>
              <w:spacing w:line="360" w:lineRule="auto"/>
              <w:jc w:val="center"/>
              <w:rPr>
                <w:rFonts w:hint="eastAsia" w:ascii="宋体" w:hAnsi="宋体" w:eastAsia="宋体" w:cs="宋体"/>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jc w:val="center"/>
        </w:trPr>
        <w:tc>
          <w:tcPr>
            <w:tcW w:w="10597" w:type="dxa"/>
            <w:gridSpan w:val="9"/>
            <w:noWrap w:val="0"/>
            <w:vAlign w:val="center"/>
          </w:tcPr>
          <w:p>
            <w:pPr>
              <w:spacing w:line="360" w:lineRule="auto"/>
              <w:jc w:val="both"/>
              <w:rPr>
                <w:rFonts w:hint="eastAsia" w:ascii="新宋体" w:hAnsi="新宋体" w:eastAsia="新宋体" w:cs="新宋体"/>
                <w:b w:val="0"/>
                <w:bCs/>
                <w:szCs w:val="21"/>
                <w:lang w:eastAsia="zh-CN"/>
              </w:rPr>
            </w:pPr>
            <w:r>
              <w:rPr>
                <w:rFonts w:hint="eastAsia" w:ascii="新宋体" w:hAnsi="新宋体" w:eastAsia="新宋体" w:cs="新宋体"/>
                <w:b w:val="0"/>
                <w:bCs/>
                <w:color w:val="000000"/>
                <w:szCs w:val="21"/>
                <w:lang w:val="zh-CN"/>
              </w:rPr>
              <w:t>▲</w:t>
            </w:r>
            <w:r>
              <w:rPr>
                <w:rFonts w:hint="eastAsia" w:ascii="新宋体" w:hAnsi="新宋体" w:eastAsia="新宋体" w:cs="新宋体"/>
                <w:b w:val="0"/>
                <w:bCs/>
                <w:szCs w:val="21"/>
                <w:lang w:val="en-US" w:eastAsia="zh-CN"/>
              </w:rPr>
              <w:t>注1：以上报价</w:t>
            </w:r>
            <w:r>
              <w:rPr>
                <w:rFonts w:hint="eastAsia" w:ascii="新宋体" w:hAnsi="新宋体" w:eastAsia="新宋体" w:cs="新宋体"/>
                <w:b w:val="0"/>
                <w:bCs/>
                <w:szCs w:val="21"/>
              </w:rPr>
              <w:t>包含</w:t>
            </w:r>
            <w:r>
              <w:rPr>
                <w:rFonts w:hint="eastAsia" w:ascii="新宋体" w:hAnsi="新宋体" w:eastAsia="新宋体" w:cs="新宋体"/>
                <w:b w:val="0"/>
                <w:bCs/>
                <w:szCs w:val="21"/>
                <w:lang w:val="en-US" w:eastAsia="zh-CN"/>
              </w:rPr>
              <w:t>本项目服务内容产生的所有费用、税费等</w:t>
            </w:r>
            <w:r>
              <w:rPr>
                <w:rFonts w:hint="eastAsia" w:ascii="新宋体" w:hAnsi="新宋体" w:eastAsia="新宋体" w:cs="新宋体"/>
                <w:b w:val="0"/>
                <w:bCs/>
                <w:szCs w:val="21"/>
                <w:lang w:eastAsia="zh-CN"/>
              </w:rPr>
              <w:t>。</w:t>
            </w:r>
          </w:p>
          <w:p>
            <w:pPr>
              <w:pStyle w:val="2"/>
              <w:ind w:left="0" w:leftChars="0" w:firstLine="0" w:firstLineChars="0"/>
              <w:rPr>
                <w:rFonts w:hint="eastAsia"/>
                <w:lang w:val="en-US" w:eastAsia="zh-CN"/>
              </w:rPr>
            </w:pPr>
            <w:r>
              <w:rPr>
                <w:rFonts w:hint="eastAsia" w:ascii="新宋体" w:hAnsi="新宋体" w:eastAsia="新宋体" w:cs="新宋体"/>
                <w:b w:val="0"/>
                <w:bCs/>
                <w:color w:val="000000"/>
                <w:szCs w:val="21"/>
                <w:lang w:val="zh-CN"/>
              </w:rPr>
              <w:t>▲</w:t>
            </w:r>
            <w:r>
              <w:rPr>
                <w:rFonts w:hint="eastAsia" w:ascii="新宋体" w:hAnsi="新宋体" w:eastAsia="新宋体" w:cs="新宋体"/>
                <w:b w:val="0"/>
                <w:bCs/>
                <w:kern w:val="2"/>
                <w:sz w:val="21"/>
                <w:szCs w:val="21"/>
                <w:lang w:val="en-US" w:eastAsia="zh-CN" w:bidi="ar-SA"/>
              </w:rPr>
              <w:t>注2：报价高于限价视为无效报价。</w:t>
            </w:r>
          </w:p>
        </w:tc>
      </w:tr>
    </w:tbl>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AD6C5"/>
    <w:multiLevelType w:val="singleLevel"/>
    <w:tmpl w:val="6AFAD6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00000000"/>
    <w:rsid w:val="262D3A28"/>
    <w:rsid w:val="363A1546"/>
    <w:rsid w:val="40BC08F6"/>
    <w:rsid w:val="429F682D"/>
    <w:rsid w:val="4504286C"/>
    <w:rsid w:val="4D0A1021"/>
    <w:rsid w:val="4DD40A5D"/>
    <w:rsid w:val="4EFA45DA"/>
    <w:rsid w:val="54D71F1B"/>
    <w:rsid w:val="5CD5778F"/>
    <w:rsid w:val="616E266A"/>
    <w:rsid w:val="6469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240" w:lineRule="auto"/>
      <w:ind w:firstLine="420" w:firstLineChars="100"/>
    </w:pPr>
    <w:rPr>
      <w:rFonts w:asciiTheme="minorHAnsi" w:hAnsiTheme="minorHAnsi" w:eastAsiaTheme="minorEastAsia" w:cstheme="minorBidi"/>
      <w:sz w:val="21"/>
      <w:szCs w:val="22"/>
    </w:rPr>
  </w:style>
  <w:style w:type="paragraph" w:styleId="3">
    <w:name w:val="Body Text"/>
    <w:basedOn w:val="1"/>
    <w:next w:val="4"/>
    <w:semiHidden/>
    <w:unhideWhenUsed/>
    <w:qFormat/>
    <w:uiPriority w:val="99"/>
    <w:pPr>
      <w:spacing w:after="120"/>
    </w:pPr>
  </w:style>
  <w:style w:type="paragraph" w:customStyle="1" w:styleId="4">
    <w:name w:val="标准"/>
    <w:basedOn w:val="1"/>
    <w:next w:val="1"/>
    <w:autoRedefine/>
    <w:qFormat/>
    <w:uiPriority w:val="0"/>
    <w:pPr>
      <w:spacing w:before="120" w:after="120" w:line="312" w:lineRule="atLeast"/>
      <w:ind w:firstLine="3584"/>
    </w:pPr>
  </w:style>
  <w:style w:type="paragraph" w:styleId="5">
    <w:name w:val="Body Text Indent"/>
    <w:basedOn w:val="1"/>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3526</Words>
  <Characters>3612</Characters>
  <Lines>0</Lines>
  <Paragraphs>0</Paragraphs>
  <TotalTime>0</TotalTime>
  <ScaleCrop>false</ScaleCrop>
  <LinksUpToDate>false</LinksUpToDate>
  <CharactersWithSpaces>3644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2024-04-26T08:01:00Z</dcterms:created>
  <dc:creator>HDS</dc:creator>
  <cp:lastModifiedBy>郑听</cp:lastModifiedBy>
  <dcterms:modified xsi:type="dcterms:W3CDTF">2024-05-10T07:12:29Z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0662AD19F0A14B368575B2B470EE0599_12</vt:lpwstr>
  </property>
</Properties>
</file>