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龙湾院区17台电梯年检第三方检测</w:t>
      </w:r>
      <w:r>
        <w:rPr>
          <w:rFonts w:hint="eastAsia"/>
        </w:rPr>
        <w:t>服务</w:t>
      </w:r>
      <w:r>
        <w:rPr>
          <w:rFonts w:hint="eastAsia"/>
          <w:lang w:val="en-US" w:eastAsia="zh-CN"/>
        </w:rPr>
        <w:t>内容及报价单</w:t>
      </w:r>
    </w:p>
    <w:p>
      <w:pPr>
        <w:pStyle w:val="17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  <w:b/>
        </w:rPr>
        <w:t>项目名称：</w:t>
      </w:r>
      <w:r>
        <w:rPr>
          <w:rFonts w:hint="eastAsia"/>
          <w:b w:val="0"/>
          <w:bCs/>
          <w:lang w:val="en-US" w:eastAsia="zh-CN"/>
        </w:rPr>
        <w:t>龙湾院区</w:t>
      </w:r>
      <w:r>
        <w:rPr>
          <w:rFonts w:hint="eastAsia" w:asciiTheme="minorEastAsia" w:hAnsiTheme="minorEastAsia"/>
          <w:szCs w:val="21"/>
          <w:lang w:val="en-US" w:eastAsia="zh-CN"/>
        </w:rPr>
        <w:t>17台电梯年检第三方</w:t>
      </w:r>
      <w:bookmarkStart w:id="0" w:name="_GoBack"/>
      <w:bookmarkEnd w:id="0"/>
      <w:r>
        <w:rPr>
          <w:rFonts w:hint="eastAsia" w:asciiTheme="minorEastAsia" w:hAnsiTheme="minorEastAsia"/>
          <w:szCs w:val="21"/>
          <w:lang w:val="en-US" w:eastAsia="zh-CN"/>
        </w:rPr>
        <w:t>检测</w:t>
      </w:r>
      <w:r>
        <w:rPr>
          <w:rFonts w:hint="eastAsia" w:asciiTheme="minorEastAsia" w:hAnsiTheme="minorEastAsia"/>
          <w:szCs w:val="21"/>
        </w:rPr>
        <w:t>服务</w:t>
      </w:r>
    </w:p>
    <w:p>
      <w:pPr>
        <w:pStyle w:val="17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  <w:b/>
          <w:lang w:val="en-US" w:eastAsia="zh-CN"/>
        </w:rPr>
        <w:t>项目最高限价</w:t>
      </w:r>
      <w:r>
        <w:rPr>
          <w:rFonts w:hint="eastAsia"/>
          <w:b/>
        </w:rPr>
        <w:t>：</w:t>
      </w:r>
      <w:r>
        <w:rPr>
          <w:rFonts w:hint="eastAsia"/>
          <w:b/>
          <w:lang w:val="en-US" w:eastAsia="zh-CN"/>
        </w:rPr>
        <w:t>1.7</w:t>
      </w:r>
      <w:r>
        <w:rPr>
          <w:rFonts w:hint="eastAsia"/>
        </w:rPr>
        <w:t>万元。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其报价不能超过2023年特检院曳引驱动乘客电梯收费标准</w:t>
      </w:r>
      <w:r>
        <w:rPr>
          <w:rFonts w:hint="eastAsia"/>
          <w:lang w:eastAsia="zh-CN"/>
        </w:rPr>
        <w:t>）</w:t>
      </w:r>
    </w:p>
    <w:p>
      <w:pPr>
        <w:pStyle w:val="17"/>
        <w:numPr>
          <w:ilvl w:val="0"/>
          <w:numId w:val="1"/>
        </w:numPr>
        <w:spacing w:line="360" w:lineRule="auto"/>
        <w:ind w:firstLineChars="0"/>
        <w:rPr>
          <w:b/>
          <w:bCs/>
        </w:rPr>
      </w:pPr>
      <w:r>
        <w:rPr>
          <w:b/>
          <w:bCs/>
        </w:rPr>
        <w:t>概述</w:t>
      </w:r>
      <w:r>
        <w:rPr>
          <w:rFonts w:hint="eastAsia"/>
          <w:b/>
          <w:bCs/>
          <w:lang w:eastAsia="zh-CN"/>
        </w:rPr>
        <w:t>：</w:t>
      </w:r>
    </w:p>
    <w:p>
      <w:pPr>
        <w:pStyle w:val="17"/>
        <w:spacing w:line="360" w:lineRule="auto"/>
        <w:ind w:left="433" w:leftChars="206"/>
        <w:rPr>
          <w:rFonts w:hint="default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龙湾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院区</w:t>
      </w: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17台曳引驱动乘客电梯年检</w:t>
      </w:r>
    </w:p>
    <w:p>
      <w:pPr>
        <w:pStyle w:val="17"/>
        <w:numPr>
          <w:ilvl w:val="0"/>
          <w:numId w:val="1"/>
        </w:numPr>
        <w:spacing w:line="360" w:lineRule="auto"/>
        <w:ind w:firstLineChars="0"/>
        <w:rPr>
          <w:b/>
          <w:bCs/>
        </w:rPr>
      </w:pPr>
      <w:r>
        <w:rPr>
          <w:b/>
          <w:bCs/>
        </w:rPr>
        <w:t>采购需求</w:t>
      </w:r>
      <w:r>
        <w:rPr>
          <w:rFonts w:hint="eastAsia"/>
          <w:b/>
          <w:bCs/>
          <w:lang w:eastAsia="zh-CN"/>
        </w:rPr>
        <w:t>：</w:t>
      </w:r>
    </w:p>
    <w:p>
      <w:pPr>
        <w:pStyle w:val="17"/>
        <w:numPr>
          <w:ilvl w:val="0"/>
          <w:numId w:val="2"/>
        </w:numPr>
        <w:spacing w:line="360" w:lineRule="auto"/>
        <w:ind w:hanging="218" w:firstLineChars="0"/>
        <w:rPr>
          <w:rFonts w:asciiTheme="minorEastAsia" w:hAnsiTheme="minorEastAsia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服务内容：</w:t>
      </w:r>
    </w:p>
    <w:p>
      <w:pPr>
        <w:pStyle w:val="11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AFAF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AFAFA"/>
        </w:rPr>
        <w:t> 开展电梯自行检测，应当按照实施检测、出具检测备忘录、确认整改情况、公示检测及整改情况、出具检测报告、换取使用标志的程序进行。</w:t>
      </w:r>
    </w:p>
    <w:p>
      <w:pPr>
        <w:pStyle w:val="11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AFAF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AFAFA"/>
        </w:rPr>
        <w:t>检测作业指导书。检测单位应当依据《电梯自行检测规则》（TSG T7008-2023），制定包括检测程序、内容、要求和方法的《电梯自行检测作业指导书（范本）》，明确检测记录格式和填写要求，用于指导具体的检测工作。</w:t>
      </w:r>
    </w:p>
    <w:p>
      <w:pPr>
        <w:pStyle w:val="11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AFAF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AFAFA"/>
        </w:rPr>
        <w:t>检测信息和档案。检测单位应当按照特种设备安全监管部门的要求，应用“浙江特种设备在线”等系统，推进实施“扫码检测”，及时传递、报告或者公示电梯自行检测信息。同时，应当及时将自行检测记录、《电梯自行检测备忘录》《电梯自行检测报告》《电梯自行检测符合性声明》等存入检测档案，检测档案至少保存 6 年。</w:t>
      </w:r>
    </w:p>
    <w:p>
      <w:pPr>
        <w:pStyle w:val="17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服务期</w:t>
      </w:r>
    </w:p>
    <w:p>
      <w:pPr>
        <w:pStyle w:val="17"/>
        <w:spacing w:line="360" w:lineRule="auto"/>
        <w:ind w:left="433" w:leftChars="206" w:firstLine="315" w:firstLineChars="150"/>
      </w:pPr>
      <w:r>
        <w:rPr>
          <w:rFonts w:hint="eastAsia"/>
          <w:lang w:val="en-US" w:eastAsia="zh-CN"/>
        </w:rPr>
        <w:t>服务</w:t>
      </w:r>
      <w:r>
        <w:rPr>
          <w:rFonts w:hint="eastAsia"/>
        </w:rPr>
        <w:t>期一年，合同签订后1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天内完成</w:t>
      </w:r>
      <w:r>
        <w:rPr>
          <w:rFonts w:hint="eastAsia"/>
          <w:lang w:val="en-US" w:eastAsia="zh-CN"/>
        </w:rPr>
        <w:t>年检</w:t>
      </w:r>
      <w:r>
        <w:rPr>
          <w:rFonts w:hint="eastAsia"/>
        </w:rPr>
        <w:t>服务，</w:t>
      </w:r>
      <w:r>
        <w:rPr>
          <w:rFonts w:hint="eastAsia"/>
          <w:lang w:val="en-US" w:eastAsia="zh-CN"/>
        </w:rPr>
        <w:t>采购方</w:t>
      </w:r>
      <w:r>
        <w:rPr>
          <w:rFonts w:hint="eastAsia"/>
        </w:rPr>
        <w:t>验收合格后1个月内启动付款。质保期至少3个月。</w:t>
      </w:r>
    </w:p>
    <w:p>
      <w:pPr>
        <w:pStyle w:val="17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更换配件清单</w:t>
      </w:r>
    </w:p>
    <w:tbl>
      <w:tblPr>
        <w:tblStyle w:val="13"/>
        <w:tblW w:w="790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960"/>
        <w:gridCol w:w="2315"/>
        <w:gridCol w:w="1378"/>
        <w:gridCol w:w="857"/>
        <w:gridCol w:w="8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设备名称</w:t>
            </w: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设备代码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单位内编号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台数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检测费单价（元）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60" w:type="dxa"/>
            <w:vAlign w:val="center"/>
          </w:tcPr>
          <w:p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2315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311010055201817085</w:t>
            </w:r>
          </w:p>
        </w:tc>
        <w:tc>
          <w:tcPr>
            <w:tcW w:w="1378" w:type="dxa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行政楼503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60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2315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311010055201817087</w:t>
            </w:r>
          </w:p>
        </w:tc>
        <w:tc>
          <w:tcPr>
            <w:tcW w:w="1378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行政楼502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60" w:type="dxa"/>
            <w:vAlign w:val="center"/>
          </w:tcPr>
          <w:p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2315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311010055201817088</w:t>
            </w:r>
          </w:p>
        </w:tc>
        <w:tc>
          <w:tcPr>
            <w:tcW w:w="1378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宿舍楼601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60" w:type="dxa"/>
            <w:vAlign w:val="center"/>
          </w:tcPr>
          <w:p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2315" w:type="dxa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311010055201817089</w:t>
            </w:r>
          </w:p>
        </w:tc>
        <w:tc>
          <w:tcPr>
            <w:tcW w:w="1378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行政楼501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60" w:type="dxa"/>
            <w:vAlign w:val="center"/>
          </w:tcPr>
          <w:p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2315" w:type="dxa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311010055201817090</w:t>
            </w:r>
          </w:p>
        </w:tc>
        <w:tc>
          <w:tcPr>
            <w:tcW w:w="1378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宿舍楼602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60" w:type="dxa"/>
            <w:vAlign w:val="center"/>
          </w:tcPr>
          <w:p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2315" w:type="dxa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311010055201817091</w:t>
            </w:r>
          </w:p>
        </w:tc>
        <w:tc>
          <w:tcPr>
            <w:tcW w:w="1378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行政楼504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60" w:type="dxa"/>
            <w:vAlign w:val="center"/>
          </w:tcPr>
          <w:p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2315" w:type="dxa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311010055201817092</w:t>
            </w:r>
          </w:p>
        </w:tc>
        <w:tc>
          <w:tcPr>
            <w:tcW w:w="1378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宿舍楼603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60" w:type="dxa"/>
            <w:vAlign w:val="center"/>
          </w:tcPr>
          <w:p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2315" w:type="dxa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311010055201909968</w:t>
            </w:r>
          </w:p>
        </w:tc>
        <w:tc>
          <w:tcPr>
            <w:tcW w:w="1378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住院部310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60" w:type="dxa"/>
            <w:vAlign w:val="center"/>
          </w:tcPr>
          <w:p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2315" w:type="dxa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311010055201909971</w:t>
            </w:r>
          </w:p>
        </w:tc>
        <w:tc>
          <w:tcPr>
            <w:tcW w:w="1378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住院部309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960" w:type="dxa"/>
            <w:vAlign w:val="center"/>
          </w:tcPr>
          <w:p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2315" w:type="dxa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311010055201909974</w:t>
            </w:r>
          </w:p>
        </w:tc>
        <w:tc>
          <w:tcPr>
            <w:tcW w:w="1378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住院部305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960" w:type="dxa"/>
            <w:vAlign w:val="center"/>
          </w:tcPr>
          <w:p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2315" w:type="dxa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311010055201909977</w:t>
            </w:r>
          </w:p>
        </w:tc>
        <w:tc>
          <w:tcPr>
            <w:tcW w:w="1378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住院部304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96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2315" w:type="dxa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311010055201931923</w:t>
            </w:r>
          </w:p>
        </w:tc>
        <w:tc>
          <w:tcPr>
            <w:tcW w:w="1378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医技楼204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96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2315" w:type="dxa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311010055201931928</w:t>
            </w:r>
          </w:p>
        </w:tc>
        <w:tc>
          <w:tcPr>
            <w:tcW w:w="1378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医技楼205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960" w:type="dxa"/>
            <w:vAlign w:val="center"/>
          </w:tcPr>
          <w:p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2315" w:type="dxa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311010055201932421</w:t>
            </w:r>
          </w:p>
        </w:tc>
        <w:tc>
          <w:tcPr>
            <w:tcW w:w="1378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门诊楼104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96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2315" w:type="dxa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311010055201932427</w:t>
            </w:r>
          </w:p>
        </w:tc>
        <w:tc>
          <w:tcPr>
            <w:tcW w:w="1378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门诊楼103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96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2315" w:type="dxa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311010055201932499</w:t>
            </w:r>
          </w:p>
        </w:tc>
        <w:tc>
          <w:tcPr>
            <w:tcW w:w="1378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医技楼208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960" w:type="dxa"/>
            <w:vAlign w:val="center"/>
          </w:tcPr>
          <w:p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2315" w:type="dxa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311010055201932508</w:t>
            </w:r>
          </w:p>
        </w:tc>
        <w:tc>
          <w:tcPr>
            <w:tcW w:w="1378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医技楼209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05" w:type="dxa"/>
            <w:gridSpan w:val="6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总计含税价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/>
              </w:rPr>
            </w:pPr>
            <w:r>
              <w:t>备注</w:t>
            </w:r>
          </w:p>
          <w:p>
            <w:r>
              <w:t>报价包含</w:t>
            </w:r>
            <w:r>
              <w:rPr>
                <w:rFonts w:hint="eastAsia"/>
              </w:rPr>
              <w:t>税费、</w:t>
            </w:r>
            <w:r>
              <w:t>人工费</w:t>
            </w:r>
            <w:r>
              <w:rPr>
                <w:rFonts w:hint="eastAsia"/>
              </w:rPr>
              <w:t>、运输费及其他</w:t>
            </w:r>
            <w:r>
              <w:t>所有费用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12" w:hRule="atLeast"/>
          <w:jc w:val="center"/>
        </w:trPr>
        <w:tc>
          <w:tcPr>
            <w:tcW w:w="7905" w:type="dxa"/>
            <w:gridSpan w:val="6"/>
            <w:vMerge w:val="continue"/>
            <w:vAlign w:val="center"/>
          </w:tcPr>
          <w:p/>
        </w:tc>
      </w:tr>
    </w:tbl>
    <w:p>
      <w:pPr>
        <w:pStyle w:val="17"/>
        <w:spacing w:line="360" w:lineRule="auto"/>
        <w:ind w:left="433" w:leftChars="206" w:firstLine="316" w:firstLineChars="150"/>
        <w:rPr>
          <w:b/>
        </w:rPr>
      </w:pPr>
    </w:p>
    <w:p>
      <w:pPr>
        <w:pStyle w:val="17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付款方式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default" w:eastAsiaTheme="minorEastAsia"/>
          <w:b/>
          <w:lang w:val="en-US" w:eastAsia="zh-CN"/>
        </w:rPr>
      </w:pPr>
      <w:r>
        <w:rPr>
          <w:rFonts w:hint="eastAsia"/>
          <w:lang w:val="en-US" w:eastAsia="zh-CN"/>
        </w:rPr>
        <w:t>分两期支付，第一期在</w:t>
      </w:r>
      <w:r>
        <w:rPr>
          <w:rFonts w:hint="eastAsia"/>
        </w:rPr>
        <w:t>合同签订后15天内</w:t>
      </w:r>
      <w:r>
        <w:rPr>
          <w:rFonts w:hint="eastAsia"/>
          <w:lang w:val="en-US" w:eastAsia="zh-CN"/>
        </w:rPr>
        <w:t>中标方</w:t>
      </w:r>
      <w:r>
        <w:rPr>
          <w:rFonts w:hint="eastAsia"/>
        </w:rPr>
        <w:t>完成维保服务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采购方验收合格后支付合同金额的50%，采购方收到中标方正规发票后办理付款申请；第二期合同结束后支付余款（即合同金额的50%），采购方收到中标方巡检记录、正规发票后办理付款申请。</w:t>
      </w:r>
    </w:p>
    <w:p>
      <w:pPr>
        <w:pStyle w:val="17"/>
        <w:numPr>
          <w:ilvl w:val="0"/>
          <w:numId w:val="1"/>
        </w:numPr>
        <w:spacing w:line="360" w:lineRule="auto"/>
        <w:ind w:firstLineChars="0"/>
        <w:rPr>
          <w:rFonts w:hint="eastAsia"/>
          <w:b/>
          <w:bCs/>
        </w:rPr>
      </w:pPr>
      <w:r>
        <w:rPr>
          <w:b/>
          <w:bCs/>
        </w:rPr>
        <w:t>其他说明</w:t>
      </w:r>
    </w:p>
    <w:p>
      <w:pPr>
        <w:pStyle w:val="17"/>
        <w:spacing w:line="360" w:lineRule="auto"/>
      </w:pPr>
      <w:r>
        <w:rPr>
          <w:rFonts w:hint="eastAsia"/>
        </w:rPr>
        <w:t>1、未完成合同全部内容的，采购方有权</w:t>
      </w:r>
      <w:r>
        <w:rPr>
          <w:rFonts w:hint="eastAsia"/>
          <w:lang w:val="en-US" w:eastAsia="zh-CN"/>
        </w:rPr>
        <w:t>解除合同，并按合同总金额的5%向采购方支付违约金，若违约金不足以抵付采购方损失的，中标方还应根据采购方实际经济损失补足差额。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AC0989"/>
    <w:multiLevelType w:val="singleLevel"/>
    <w:tmpl w:val="F3AC09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56C76A1"/>
    <w:multiLevelType w:val="multilevel"/>
    <w:tmpl w:val="156C76A1"/>
    <w:lvl w:ilvl="0" w:tentative="0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627F76BA"/>
    <w:multiLevelType w:val="multilevel"/>
    <w:tmpl w:val="627F76BA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TAxZGUyM2E2ZjBjZGUyZWI1NDFlN2U2ODlmOGIifQ=="/>
  </w:docVars>
  <w:rsids>
    <w:rsidRoot w:val="00C11173"/>
    <w:rsid w:val="00015FF3"/>
    <w:rsid w:val="00021973"/>
    <w:rsid w:val="000B1B50"/>
    <w:rsid w:val="001A55A9"/>
    <w:rsid w:val="001E4F90"/>
    <w:rsid w:val="00210662"/>
    <w:rsid w:val="00235F20"/>
    <w:rsid w:val="002375F2"/>
    <w:rsid w:val="00277773"/>
    <w:rsid w:val="00280EC8"/>
    <w:rsid w:val="00291A30"/>
    <w:rsid w:val="002C4DBB"/>
    <w:rsid w:val="003329A4"/>
    <w:rsid w:val="0038147D"/>
    <w:rsid w:val="00421F19"/>
    <w:rsid w:val="00501C51"/>
    <w:rsid w:val="005168CA"/>
    <w:rsid w:val="00544BF8"/>
    <w:rsid w:val="00565EFC"/>
    <w:rsid w:val="005965BF"/>
    <w:rsid w:val="005E27D6"/>
    <w:rsid w:val="005E33FC"/>
    <w:rsid w:val="005E62DE"/>
    <w:rsid w:val="00617049"/>
    <w:rsid w:val="006539B5"/>
    <w:rsid w:val="00674A4C"/>
    <w:rsid w:val="00711EE8"/>
    <w:rsid w:val="007C787F"/>
    <w:rsid w:val="00834ECC"/>
    <w:rsid w:val="00884649"/>
    <w:rsid w:val="008945EE"/>
    <w:rsid w:val="00920972"/>
    <w:rsid w:val="0098781C"/>
    <w:rsid w:val="009B73F6"/>
    <w:rsid w:val="009E3AD0"/>
    <w:rsid w:val="009E439E"/>
    <w:rsid w:val="00A02496"/>
    <w:rsid w:val="00A075AF"/>
    <w:rsid w:val="00A27A02"/>
    <w:rsid w:val="00A42F84"/>
    <w:rsid w:val="00A44BF6"/>
    <w:rsid w:val="00A674E1"/>
    <w:rsid w:val="00A8005A"/>
    <w:rsid w:val="00A831CC"/>
    <w:rsid w:val="00A925D6"/>
    <w:rsid w:val="00AB14B7"/>
    <w:rsid w:val="00AC36BE"/>
    <w:rsid w:val="00B12F3F"/>
    <w:rsid w:val="00B21345"/>
    <w:rsid w:val="00B2709A"/>
    <w:rsid w:val="00B84D8A"/>
    <w:rsid w:val="00BE5B94"/>
    <w:rsid w:val="00BE7C16"/>
    <w:rsid w:val="00C11173"/>
    <w:rsid w:val="00C1703E"/>
    <w:rsid w:val="00C40E08"/>
    <w:rsid w:val="00C9243E"/>
    <w:rsid w:val="00CD389E"/>
    <w:rsid w:val="00CE1440"/>
    <w:rsid w:val="00D86983"/>
    <w:rsid w:val="00D918B9"/>
    <w:rsid w:val="00DE55C7"/>
    <w:rsid w:val="00E16D96"/>
    <w:rsid w:val="00E530D6"/>
    <w:rsid w:val="00E85DEC"/>
    <w:rsid w:val="00ED33A3"/>
    <w:rsid w:val="00ED7B09"/>
    <w:rsid w:val="00F04561"/>
    <w:rsid w:val="00F04A78"/>
    <w:rsid w:val="00F37DFB"/>
    <w:rsid w:val="00F71AC6"/>
    <w:rsid w:val="00F752F1"/>
    <w:rsid w:val="00FA5DEA"/>
    <w:rsid w:val="00FE7FC5"/>
    <w:rsid w:val="1F01064F"/>
    <w:rsid w:val="21BB6F04"/>
    <w:rsid w:val="229B66D9"/>
    <w:rsid w:val="271367F7"/>
    <w:rsid w:val="2E7F3812"/>
    <w:rsid w:val="32B24B3D"/>
    <w:rsid w:val="362D1F6B"/>
    <w:rsid w:val="3B302270"/>
    <w:rsid w:val="55B55A3B"/>
    <w:rsid w:val="55E30B68"/>
    <w:rsid w:val="583A0AAE"/>
    <w:rsid w:val="58EB4BB9"/>
    <w:rsid w:val="5AAB70C5"/>
    <w:rsid w:val="65BC6F09"/>
    <w:rsid w:val="65C90193"/>
    <w:rsid w:val="6D761D8C"/>
    <w:rsid w:val="71D84E93"/>
    <w:rsid w:val="78B90C9C"/>
    <w:rsid w:val="7FFF7E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autoRedefine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6">
    <w:name w:val="Body Text First Indent"/>
    <w:basedOn w:val="5"/>
    <w:next w:val="7"/>
    <w:qFormat/>
    <w:uiPriority w:val="0"/>
    <w:pPr>
      <w:adjustRightInd/>
      <w:spacing w:after="120" w:afterLines="0" w:line="240" w:lineRule="auto"/>
      <w:ind w:firstLine="420" w:firstLineChars="100"/>
      <w:jc w:val="both"/>
      <w:textAlignment w:val="auto"/>
    </w:pPr>
    <w:rPr>
      <w:rFonts w:ascii="Times New Roman" w:eastAsia="宋体"/>
      <w:kern w:val="2"/>
      <w:sz w:val="21"/>
    </w:rPr>
  </w:style>
  <w:style w:type="paragraph" w:styleId="7">
    <w:name w:val="toc 6"/>
    <w:basedOn w:val="1"/>
    <w:next w:val="1"/>
    <w:autoRedefine/>
    <w:qFormat/>
    <w:uiPriority w:val="0"/>
    <w:pPr>
      <w:ind w:left="1050"/>
      <w:jc w:val="left"/>
    </w:pPr>
    <w:rPr>
      <w:sz w:val="18"/>
      <w:szCs w:val="18"/>
    </w:rPr>
  </w:style>
  <w:style w:type="paragraph" w:styleId="8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customStyle="1" w:styleId="16">
    <w:name w:val="标题 1 Char"/>
    <w:basedOn w:val="14"/>
    <w:link w:val="2"/>
    <w:autoRedefine/>
    <w:qFormat/>
    <w:uiPriority w:val="9"/>
    <w:rPr>
      <w:b/>
      <w:bCs/>
      <w:kern w:val="44"/>
      <w:sz w:val="44"/>
      <w:szCs w:val="4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4"/>
    <w:link w:val="8"/>
    <w:autoRedefine/>
    <w:semiHidden/>
    <w:qFormat/>
    <w:uiPriority w:val="99"/>
    <w:rPr>
      <w:sz w:val="18"/>
      <w:szCs w:val="18"/>
    </w:rPr>
  </w:style>
  <w:style w:type="paragraph" w:customStyle="1" w:styleId="19">
    <w:name w:val="p17"/>
    <w:basedOn w:val="1"/>
    <w:autoRedefine/>
    <w:qFormat/>
    <w:uiPriority w:val="0"/>
    <w:pPr>
      <w:widowControl/>
      <w:spacing w:line="360" w:lineRule="auto"/>
      <w:ind w:firstLine="42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20">
    <w:name w:val="页眉 Char"/>
    <w:basedOn w:val="14"/>
    <w:link w:val="10"/>
    <w:autoRedefine/>
    <w:semiHidden/>
    <w:qFormat/>
    <w:uiPriority w:val="99"/>
    <w:rPr>
      <w:sz w:val="18"/>
      <w:szCs w:val="18"/>
    </w:rPr>
  </w:style>
  <w:style w:type="character" w:customStyle="1" w:styleId="21">
    <w:name w:val="页脚 Char"/>
    <w:basedOn w:val="14"/>
    <w:link w:val="9"/>
    <w:autoRedefine/>
    <w:semiHidden/>
    <w:qFormat/>
    <w:uiPriority w:val="99"/>
    <w:rPr>
      <w:sz w:val="18"/>
      <w:szCs w:val="18"/>
    </w:rPr>
  </w:style>
  <w:style w:type="character" w:customStyle="1" w:styleId="22">
    <w:name w:val="标题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3 Char"/>
    <w:basedOn w:val="14"/>
    <w:link w:val="4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978</Words>
  <Characters>1335</Characters>
  <Lines>6</Lines>
  <Paragraphs>1</Paragraphs>
  <TotalTime>6</TotalTime>
  <ScaleCrop>false</ScaleCrop>
  <LinksUpToDate>false</LinksUpToDate>
  <CharactersWithSpaces>1339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2021-12-20T04:08:00Z</dcterms:created>
  <dc:creator>hp</dc:creator>
  <cp:lastModifiedBy>郑听</cp:lastModifiedBy>
  <dcterms:modified xsi:type="dcterms:W3CDTF">2024-05-09T08:19:56Z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D642790317F94F5EBE9384D61686CE56_13</vt:lpwstr>
  </property>
</Properties>
</file>