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高速冷冻离心机、移液器等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专业设备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计量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检测服务购置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公告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</w:rPr>
        <w:t>名称：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高速冷冻离心机、移液器等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</w:rPr>
        <w:t>计量检测服务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项目概况及要求：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1、采购方式为比价采购，服务时间为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single"/>
          <w:lang w:val="en-US" w:eastAsia="zh-CN"/>
        </w:rPr>
        <w:t>2年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，最高限价4.8万元。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2、要求供应商提供的服务</w:t>
      </w: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（1）要求供应商协助我科室整理仪器设备，制定年度校验计划，并按年度计划要求实施检定、校准、检测和代为送检服务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（2）要求供应商按照我科室需求（具体项目见下表）提供计量、校准服务。自检率达到90%以上，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计量检测服务时间为2年。</w:t>
      </w:r>
    </w:p>
    <w:tbl>
      <w:tblPr>
        <w:tblStyle w:val="5"/>
        <w:tblW w:w="85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483"/>
        <w:gridCol w:w="898"/>
        <w:gridCol w:w="2415"/>
        <w:gridCol w:w="851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设备名称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特殊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要求*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校验周期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服务方式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高速冷冻离心机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检测温度4度，转速2000/3000/4000rpm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移液器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送检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电子血压计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送检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耳温枪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送检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呼出气体酒精含量探测器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送检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身高体重秤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数显温湿度计监控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温湿度各3个点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送检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智能无线温湿度监控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温湿度各3个点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送检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数字心电图机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送检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高速冷冻离心机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送检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移液器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送检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电子血压计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现场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*未标注特殊校验要求的项目，按照相关计量技术规范和法规要求进行检测。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（3）送检不合格的计量器具，如温度计、温湿度计、移液器等小型仪器，提供免费维修服务。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（4）提供计量技术咨询服务。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商务要求：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1、结算方式；</w:t>
      </w: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供应商应根据我科室提供的仪器设备清单详表进行规划，将所有仪器设备分为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一年2次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一年3次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进行校验，于每批次校验完成后一次付清当批次的费用。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2、报价要求及报价方式；</w:t>
      </w: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要求供应商根据我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科室提供的仪器设备清单进行报价。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3、服务周期；</w:t>
      </w: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服务周期2年。</w:t>
      </w: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4、其他要求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（1）要求供应商在完成校验活动后3个工作日内出具校验报告，加急项目1个工作日内出具。要求校验报告提供纸质盖章版本和PDF扫描件。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（2）如因仪器设备增设等原因，导致本合同未能完全包含所有校验项目。供应商应积极配合新增校验，完成校验后按本合同金额计算费用。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供应商资格要求：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1、符合《中华人民共和国政府采购法》第二十二条对供应商主体的规定。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2、具备中国合格评定国家认可委员会（CNAS）的实验室认可或检验检测机构资质认定（CMA）、计量校准机构备案或计量授权等资质。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3、2022年1月1日起，为浙江省内不少于5家的三甲医院提供设备检测服务。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供应商报价要求：</w:t>
      </w: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本次报价须为人民币报价，包含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计量检测所需人工费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、保险费、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计量检测设备使用费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、税费等所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需的全部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费用。</w:t>
      </w:r>
    </w:p>
    <w:p>
      <w:pPr>
        <w:spacing w:line="360" w:lineRule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六、供应商报名时间及地点等：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1、起止时间：2024年2月18日起至2024年3月3日16:00止。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2、报名资料：详见附件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3、资料递交地点：温州市龙湾区瑶溪镇曹龙路1111号温州医科大学附属第二医院龙湾院区 住院楼16楼L162 临床医学研究中心。</w:t>
      </w: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5、联系人：张琦琪；联系电话：0577-85676824。</w:t>
      </w: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本项目支持现场报名或邮寄方式报名。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C08206"/>
    <w:multiLevelType w:val="singleLevel"/>
    <w:tmpl w:val="63C082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YzRkYmYxMmEzNjg4MjgzYWFlOWVlNjgwODczMDMifQ=="/>
  </w:docVars>
  <w:rsids>
    <w:rsidRoot w:val="29F30641"/>
    <w:rsid w:val="04E91332"/>
    <w:rsid w:val="29F30641"/>
    <w:rsid w:val="31771AF0"/>
    <w:rsid w:val="67900263"/>
    <w:rsid w:val="6F5B47D6"/>
    <w:rsid w:val="7640673F"/>
    <w:rsid w:val="77B95816"/>
    <w:rsid w:val="7B80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I\II\III"/>
    <w:basedOn w:val="2"/>
    <w:next w:val="2"/>
    <w:autoRedefine/>
    <w:qFormat/>
    <w:uiPriority w:val="0"/>
    <w:pPr>
      <w:spacing w:before="50" w:beforeLines="50" w:after="50" w:afterLines="50" w:line="500" w:lineRule="exact"/>
    </w:pPr>
    <w:rPr>
      <w:rFonts w:ascii="宋体" w:hAnsi="宋体" w:eastAsia="仿宋_GB2312"/>
      <w:b w:val="0"/>
      <w:sz w:val="30"/>
      <w:szCs w:val="21"/>
    </w:rPr>
  </w:style>
  <w:style w:type="paragraph" w:customStyle="1" w:styleId="8">
    <w:name w:val="内容"/>
    <w:basedOn w:val="1"/>
    <w:autoRedefine/>
    <w:qFormat/>
    <w:uiPriority w:val="0"/>
    <w:pPr>
      <w:snapToGrid w:val="0"/>
      <w:spacing w:line="440" w:lineRule="exact"/>
      <w:ind w:firstLine="720" w:firstLineChars="200"/>
      <w:jc w:val="left"/>
    </w:pPr>
    <w:rPr>
      <w:rFonts w:ascii="宋体" w:hAnsi="宋体" w:eastAsia="宋体"/>
      <w:kern w:val="0"/>
      <w:sz w:val="21"/>
      <w:szCs w:val="20"/>
    </w:rPr>
  </w:style>
  <w:style w:type="paragraph" w:customStyle="1" w:styleId="9">
    <w:name w:val="SOP标题"/>
    <w:basedOn w:val="4"/>
    <w:next w:val="2"/>
    <w:autoRedefine/>
    <w:qFormat/>
    <w:uiPriority w:val="0"/>
    <w:pPr>
      <w:spacing w:before="50" w:beforeLines="50" w:after="50" w:afterLines="50" w:line="240" w:lineRule="auto"/>
    </w:pPr>
    <w:rPr>
      <w:rFonts w:ascii="Arial" w:hAnsi="Arial" w:eastAsia="宋体" w:cs="宋体"/>
      <w:kern w:val="2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2024-02-18T01:36:00Z</dcterms:created>
  <dc:creator>zqq</dc:creator>
  <cp:lastModifiedBy>zqq</cp:lastModifiedBy>
  <dcterms:modified xsi:type="dcterms:W3CDTF">2024-02-18T02:45:46Z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72F41270E770418B9890BAE4E476E40E_11</vt:lpwstr>
  </property>
</Properties>
</file>