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4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59630" cy="1453515"/>
            <wp:effectExtent l="0" t="0" r="7620" b="13335"/>
            <wp:docPr id="1" name="图片 1" descr="D:\ShareCache\黄戈靖\重要图片\医院标识新.png医院标识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ShareCache\黄戈靖\重要图片\医院标识新.png医院标识新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63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-200"/>
        </w:tabs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/>
          <w:color w:val="auto"/>
          <w:sz w:val="44"/>
          <w:szCs w:val="44"/>
        </w:rPr>
        <w:t>信息项目</w:t>
      </w:r>
      <w:r>
        <w:rPr>
          <w:rFonts w:hint="default" w:ascii="微软雅黑" w:hAnsi="微软雅黑" w:eastAsia="微软雅黑"/>
          <w:color w:val="auto"/>
          <w:sz w:val="44"/>
          <w:szCs w:val="44"/>
        </w:rPr>
        <w:t>采购</w:t>
      </w:r>
      <w:r>
        <w:rPr>
          <w:rFonts w:hint="eastAsia" w:ascii="微软雅黑" w:hAnsi="微软雅黑" w:eastAsia="微软雅黑"/>
          <w:color w:val="auto"/>
          <w:sz w:val="44"/>
          <w:szCs w:val="44"/>
          <w:lang w:val="en-US" w:eastAsia="zh-CN"/>
        </w:rPr>
        <w:t>技术</w:t>
      </w:r>
      <w:r>
        <w:rPr>
          <w:rFonts w:hint="eastAsia" w:ascii="微软雅黑" w:hAnsi="微软雅黑" w:eastAsia="微软雅黑"/>
          <w:color w:val="auto"/>
          <w:sz w:val="44"/>
          <w:szCs w:val="44"/>
        </w:rPr>
        <w:t>参数</w:t>
      </w:r>
    </w:p>
    <w:p>
      <w:pPr>
        <w:tabs>
          <w:tab w:val="left" w:pos="-200"/>
        </w:tabs>
        <w:ind w:left="0" w:leftChars="0" w:firstLine="0" w:firstLineChars="0"/>
        <w:jc w:val="center"/>
        <w:rPr>
          <w:rFonts w:ascii="微软雅黑" w:hAnsi="微软雅黑" w:eastAsia="微软雅黑"/>
          <w:color w:val="auto"/>
          <w:sz w:val="44"/>
          <w:szCs w:val="44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tbl>
      <w:tblPr>
        <w:tblStyle w:val="13"/>
        <w:tblW w:w="7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5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eastAsia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预算</w:t>
            </w:r>
            <w:r>
              <w:rPr>
                <w:rFonts w:hint="eastAsia"/>
                <w:color w:val="auto"/>
                <w:sz w:val="28"/>
                <w:szCs w:val="28"/>
              </w:rPr>
              <w:t>编号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NC账务系统维护费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、财务对接系统维护费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rFonts w:hint="default"/>
                <w:color w:val="auto"/>
                <w:sz w:val="28"/>
                <w:szCs w:val="28"/>
              </w:rPr>
            </w:pPr>
            <w:r>
              <w:rPr>
                <w:rFonts w:hint="default"/>
                <w:color w:val="auto"/>
                <w:sz w:val="28"/>
                <w:szCs w:val="28"/>
              </w:rPr>
              <w:t>预算名称：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预算金额：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方案调研：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周颖颖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方案拟定：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周颖颖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信息中心审核</w:t>
            </w:r>
            <w:r>
              <w:rPr>
                <w:rFonts w:hint="eastAsia"/>
                <w:color w:val="auto"/>
                <w:sz w:val="28"/>
                <w:szCs w:val="28"/>
              </w:rPr>
              <w:t>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3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相关科室审核：</w:t>
            </w:r>
          </w:p>
        </w:tc>
        <w:tc>
          <w:tcPr>
            <w:tcW w:w="5207" w:type="dxa"/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rPr>
          <w:color w:val="auto"/>
        </w:rPr>
      </w:pPr>
    </w:p>
    <w:p>
      <w:pPr>
        <w:tabs>
          <w:tab w:val="left" w:pos="-200"/>
        </w:tabs>
        <w:ind w:left="0" w:leftChars="0"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lang w:val="en-US" w:eastAsia="zh-CN"/>
        </w:rPr>
        <w:t>23.06</w:t>
      </w:r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bookmarkStart w:id="0" w:name="_Toc415814133"/>
      <w:bookmarkStart w:id="1" w:name="_Toc227057959"/>
      <w:bookmarkStart w:id="2" w:name="_Toc514680868"/>
      <w:bookmarkStart w:id="3" w:name="_Toc8505"/>
      <w:bookmarkStart w:id="4" w:name="_Toc107822570"/>
      <w:bookmarkStart w:id="5" w:name="_Toc226969353"/>
      <w:bookmarkStart w:id="6" w:name="_Toc1112982"/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2537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建设内容、要求及技术指标</w:t>
      </w:r>
      <w:bookmarkEnd w:id="6"/>
      <w:bookmarkEnd w:id="7"/>
    </w:p>
    <w:p>
      <w:pPr>
        <w:pStyle w:val="3"/>
        <w:numPr>
          <w:ilvl w:val="0"/>
          <w:numId w:val="1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8" w:name="_Toc22550"/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建设内容</w:t>
      </w:r>
      <w:bookmarkEnd w:id="8"/>
    </w:p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cs="宋体"/>
          <w:bCs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2"/>
          <w:szCs w:val="22"/>
        </w:rPr>
        <w:t>采购项目概况（内容、数量、简要说明等）：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15"/>
        <w:ind w:left="0" w:leftChars="0" w:firstLine="0" w:firstLineChars="0"/>
        <w:rPr>
          <w:rFonts w:hint="eastAsia" w:ascii="宋体" w:hAnsi="宋体" w:cs="宋体"/>
          <w:bCs/>
          <w:kern w:val="0"/>
          <w:sz w:val="22"/>
          <w:szCs w:val="22"/>
          <w:lang w:eastAsia="zh-CN"/>
        </w:rPr>
      </w:pPr>
    </w:p>
    <w:p>
      <w:pPr>
        <w:pStyle w:val="15"/>
        <w:ind w:left="0" w:leftChars="0" w:firstLine="0" w:firstLineChars="0"/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  <w:szCs w:val="22"/>
          <w:lang w:eastAsia="zh-CN"/>
        </w:rPr>
        <w:t>采购内容：</w:t>
      </w:r>
    </w:p>
    <w:tbl>
      <w:tblPr>
        <w:tblStyle w:val="12"/>
        <w:tblW w:w="0" w:type="auto"/>
        <w:tblInd w:w="0" w:type="dxa"/>
        <w:shd w:val="clear" w:color="auto" w:fill="EDFB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415"/>
        <w:gridCol w:w="1425"/>
        <w:gridCol w:w="1410"/>
        <w:gridCol w:w="2175"/>
      </w:tblGrid>
      <w:tr>
        <w:tblPrEx>
          <w:shd w:val="clear" w:color="auto" w:fill="EDFB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shd w:val="clear" w:color="auto" w:fill="EDFBFC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财务核算系统、财务凭证接口系统维护服务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套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DFBF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</w:pPr>
          </w:p>
        </w:tc>
      </w:tr>
    </w:tbl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功能需求：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12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4002"/>
        <w:gridCol w:w="713"/>
        <w:gridCol w:w="653"/>
        <w:gridCol w:w="85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bookmarkStart w:id="9" w:name="_Toc28183"/>
            <w:r>
              <w:rPr>
                <w:rFonts w:hint="eastAsia" w:ascii="宋体" w:hAnsi="宋体"/>
                <w:sz w:val="24"/>
                <w:szCs w:val="24"/>
              </w:rPr>
              <w:t>服务项目</w:t>
            </w:r>
          </w:p>
        </w:tc>
        <w:tc>
          <w:tcPr>
            <w:tcW w:w="4002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服务内容</w:t>
            </w:r>
          </w:p>
        </w:tc>
        <w:tc>
          <w:tcPr>
            <w:tcW w:w="2976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服务方式（“-”表示不以该方式提供）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02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电话/在线服务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远程服务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现场服务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系统代码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财务业务互联互通对接具备源代码管理维护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在线支持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在线QQ，微信，邮件技术支持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远程维护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在线远程技术维护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电话支持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电话支持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月度电话回访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定期对用户使用情况进行回访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现场服务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应客户要求，上门提供服务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修改原有功能项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应客户要求，修改原实现的功能项（具体功能项范围见备注）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系统版本升级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升级使用的系统及开发版本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系统故障诊断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诊断系统故障原因，并提出排除故障措施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系统使用培训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财务科室</w:t>
            </w:r>
            <w:r>
              <w:rPr>
                <w:rFonts w:hint="eastAsia" w:ascii="宋体" w:hAnsi="宋体"/>
                <w:sz w:val="21"/>
                <w:szCs w:val="21"/>
              </w:rPr>
              <w:t>用户使用系统，提高用户的系统应用能力和工作效率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系统维护培训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指导信息科进行系统日常维护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系统软件安装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为客户安装有效授权的客户端软件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数据修正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查找系统中出错的数据，并进行修正。数据的错误常见于操作失误，死机、断电等意外造成的数据错误。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数据备份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备份系统数据，确保系统数据安全有效。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数据恢复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恢复有效的备份系统数据。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系统接口优化</w:t>
            </w:r>
          </w:p>
        </w:tc>
        <w:tc>
          <w:tcPr>
            <w:tcW w:w="4002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对系统接口进行检测，提出优化系统性能方案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  <w:tc>
          <w:tcPr>
            <w:tcW w:w="6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合计金额</w:t>
            </w:r>
          </w:p>
        </w:tc>
        <w:tc>
          <w:tcPr>
            <w:tcW w:w="6978" w:type="dxa"/>
            <w:gridSpan w:val="5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0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40000.00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元</w:t>
            </w:r>
          </w:p>
        </w:tc>
      </w:tr>
    </w:tbl>
    <w:p>
      <w:pPr>
        <w:pStyle w:val="6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3"/>
        <w:numPr>
          <w:ilvl w:val="1"/>
          <w:numId w:val="2"/>
        </w:numPr>
        <w:tabs>
          <w:tab w:val="left" w:pos="-200"/>
        </w:tabs>
        <w:spacing w:line="240" w:lineRule="auto"/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运维需求：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textAlignment w:val="auto"/>
        <w:outlineLvl w:val="9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（一）</w:t>
      </w:r>
      <w:r>
        <w:rPr>
          <w:rFonts w:hint="eastAsia" w:ascii="宋体" w:hAnsi="宋体"/>
        </w:rPr>
        <w:t>服务方式：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电话咨询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</w:rPr>
        <w:t>中标人和制造商应当为采购人提供7*24小时技术援助电话，解答采购人在使用中遇到的问题，及时为采购人提出解决问题的建议。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现场响应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采购人遇到使用及技术问题系统无法正常运行，电话咨询不能解决的问题，中标人和制造商应在2小时内到达现场进行处理，确保产品正常工作；应在12小时内排除问题，使采购人能够正常使用。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技术升级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在质保期内，如果中标人和制造商的产品</w:t>
      </w:r>
      <w:r>
        <w:rPr>
          <w:rFonts w:hint="eastAsia"/>
          <w:lang w:val="en-US" w:eastAsia="zh-CN"/>
        </w:rPr>
        <w:t>版本或功能</w:t>
      </w:r>
      <w:r>
        <w:rPr>
          <w:rFonts w:hint="eastAsia"/>
        </w:rPr>
        <w:t>升级，投标人应及时通知采购人，如采购人有相应要求，中标人和制造商应对采购人购买的产品进行升级服务。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（2）服务公司需要支持财务凭证接口系统升级，享有财务凭证接口系统版权。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专人服务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制造商设置专人售后服务，包括：系统日常运维、程序bug处理或修改、技术咨询、巡检服务等。系统运行情况的现场巡检服务，至少1次/每年。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对接联络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中标人须指定专门联络人、项目经理、技术经理等负责温州医科大学附属第二医院</w:t>
      </w:r>
      <w:r>
        <w:rPr>
          <w:rFonts w:hint="eastAsia"/>
          <w:highlight w:val="none"/>
          <w:lang w:val="en-US" w:eastAsia="zh-CN"/>
        </w:rPr>
        <w:t>财务核算系统、财务凭证接口系统</w:t>
      </w:r>
      <w:r>
        <w:rPr>
          <w:rFonts w:hint="eastAsia"/>
        </w:rPr>
        <w:t>的技术咨询、系统维护的接洽工作；须对用户的维护人员提供培训，使其能对系统进行日常的维护保养及能对一般故障进行维修。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</w:pPr>
      <w:r>
        <w:rPr>
          <w:rFonts w:hint="eastAsia"/>
        </w:rPr>
        <w:t>在项目的实施管理中，应明确具体的项目目标、工作内容、实施任务、实施注意事项；应拟定周密的项目实施计划进度；应明确项目实施人员、岗位职责；应落实应用培训方案（含培训计划和培训内容）。公司应提供一支专业、有丰富开发实施经验的技术团队保障项目的建设成功。项目经理应有多年成功实施类似案例的经验，且应保持稳定无变化，无特殊事由未经医院同意不得随意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（二）</w:t>
      </w:r>
      <w:r>
        <w:rPr>
          <w:rFonts w:hint="eastAsia" w:ascii="宋体" w:hAnsi="宋体"/>
        </w:rPr>
        <w:t>在服务期限内的服务范围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1.</w:t>
      </w:r>
      <w:r>
        <w:rPr>
          <w:rFonts w:hint="eastAsia" w:ascii="宋体" w:hAnsi="宋体"/>
        </w:rPr>
        <w:t>软件程序出错或因操作失误造成数据混乱，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负责调整数据及修改程序</w:t>
      </w:r>
      <w:r>
        <w:rPr>
          <w:rFonts w:hint="eastAsia" w:ascii="宋体" w:hAnsi="宋体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合理的、不影响软件业务流程、数据流程、核心模块和数据库结构的修</w:t>
      </w:r>
      <w:r>
        <w:rPr>
          <w:rFonts w:hint="eastAsia" w:ascii="宋体" w:hAnsi="宋体"/>
          <w:lang w:val="en-US" w:eastAsia="zh-CN"/>
        </w:rPr>
        <w:t>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 w:firstLineChars="20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统计报表的数据核对，针对报表数据与实际不符或与其他报表不对应的情况，协助进行查对或讲解说明；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指导甲方查明</w:t>
      </w:r>
      <w:r>
        <w:rPr>
          <w:rFonts w:hint="eastAsia" w:ascii="宋体" w:hAnsi="宋体"/>
          <w:lang w:val="en-US" w:eastAsia="zh-CN"/>
        </w:rPr>
        <w:t>系统</w:t>
      </w:r>
      <w:r>
        <w:rPr>
          <w:rFonts w:hint="eastAsia" w:ascii="宋体" w:hAnsi="宋体"/>
        </w:rPr>
        <w:t>各模</w:t>
      </w:r>
      <w:r>
        <w:rPr>
          <w:rFonts w:ascii="宋体" w:hAnsi="宋体"/>
        </w:rPr>
        <w:t>块</w:t>
      </w:r>
      <w:r>
        <w:rPr>
          <w:rFonts w:hint="eastAsia" w:ascii="宋体" w:hAnsi="宋体"/>
        </w:rPr>
        <w:t>系统不能运行的原因并解决问题；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解决系统运行故障；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 w:right="0" w:rightChars="0"/>
        <w:textAlignment w:val="auto"/>
        <w:outlineLvl w:val="9"/>
        <w:rPr>
          <w:rFonts w:ascii="宋体" w:hAnsi="宋体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因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提供的软硬件原因造成数据丢失、混乱，由</w:t>
      </w:r>
      <w:r>
        <w:rPr>
          <w:rFonts w:hint="eastAsia" w:ascii="宋体" w:hAnsi="宋体"/>
          <w:lang w:val="en-US" w:eastAsia="zh-CN"/>
        </w:rPr>
        <w:t>中标人</w:t>
      </w:r>
      <w:r>
        <w:rPr>
          <w:rFonts w:hint="eastAsia" w:ascii="宋体" w:hAnsi="宋体"/>
        </w:rPr>
        <w:t>尽最大努力协助恢复；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2" w:firstLineChars="200"/>
        <w:textAlignment w:val="auto"/>
        <w:outlineLvl w:val="9"/>
        <w:rPr>
          <w:rFonts w:hint="eastAsia" w:ascii="Calibri" w:hAnsi="Calibri" w:eastAsia="宋体" w:cs="Times New Roman"/>
          <w:b/>
          <w:bCs/>
          <w:sz w:val="21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1"/>
          <w:szCs w:val="22"/>
          <w:lang w:val="en-US" w:eastAsia="zh-CN"/>
        </w:rPr>
        <w:t>六、项目商务要求：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20"/>
        <w:textAlignment w:val="auto"/>
        <w:outlineLvl w:val="9"/>
      </w:pPr>
      <w:r>
        <w:rPr>
          <w:rFonts w:hint="eastAsia"/>
          <w:b/>
          <w:bCs/>
        </w:rPr>
        <w:t>报价要求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本次报价须为人民币报价，包含：产品价、运输费（含装卸费）、保险费、安装调试费、税费、培训费等货到采购人指定地点的所有费用。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420" w:firstLineChars="0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质量保证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right="0" w:rightChars="0" w:firstLine="0" w:firstLineChars="0"/>
        <w:textAlignment w:val="auto"/>
        <w:outlineLvl w:val="9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投标人需在服务期限内提供及时有效的服务。</w:t>
      </w:r>
    </w:p>
    <w:p>
      <w:pPr>
        <w:pStyle w:val="6"/>
        <w:numPr>
          <w:ilvl w:val="0"/>
          <w:numId w:val="0"/>
        </w:numP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tabs>
          <w:tab w:val="left" w:pos="-200"/>
          <w:tab w:val="left" w:pos="3652"/>
        </w:tabs>
        <w:spacing w:line="240" w:lineRule="auto"/>
        <w:ind w:left="0" w:leftChars="0" w:firstLine="0" w:firstLineChars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color w:val="000000" w:themeColor="text1"/>
          <w14:textFill>
            <w14:solidFill>
              <w14:schemeClr w14:val="tx1"/>
            </w14:solidFill>
          </w14:textFill>
        </w:rPr>
        <w:t>第二章  招标评分标准</w:t>
      </w:r>
      <w:bookmarkEnd w:id="9"/>
    </w:p>
    <w:p>
      <w:pPr>
        <w:pStyle w:val="3"/>
        <w:numPr>
          <w:ilvl w:val="0"/>
          <w:numId w:val="7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0" w:name="_Toc4554"/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综合评分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0"/>
    </w:p>
    <w:tbl>
      <w:tblPr>
        <w:tblStyle w:val="12"/>
        <w:tblpPr w:leftFromText="180" w:rightFromText="180" w:vertAnchor="text" w:horzAnchor="page" w:tblpXSpec="center" w:tblpY="358"/>
        <w:tblOverlap w:val="never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60"/>
        <w:gridCol w:w="796"/>
        <w:gridCol w:w="6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运维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方案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根据投标人实施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维护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进度安排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是否合理，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技术设计方案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是否可行，</w:t>
            </w:r>
            <w:r>
              <w:rPr>
                <w:rFonts w:hint="eastAsia" w:ascii="宋体" w:hAnsi="宋体" w:eastAsia="宋体"/>
                <w:bCs/>
                <w:spacing w:val="-6"/>
                <w:sz w:val="21"/>
                <w:szCs w:val="21"/>
                <w:lang w:val="en-US" w:eastAsia="zh-CN"/>
              </w:rPr>
              <w:t>组织综合评分</w:t>
            </w:r>
            <w:r>
              <w:rPr>
                <w:rFonts w:hint="eastAsia" w:ascii="宋体" w:hAnsi="宋体"/>
                <w:bCs/>
                <w:spacing w:val="-6"/>
                <w:sz w:val="21"/>
                <w:szCs w:val="21"/>
                <w:lang w:val="en-US" w:eastAsia="zh-CN"/>
              </w:rPr>
              <w:t>，最高得30分。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11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服务能力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201" w:type="dxa"/>
            <w:vAlign w:val="center"/>
          </w:tcPr>
          <w:p>
            <w:pPr>
              <w:spacing w:line="288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根据投标人是否具备成熟售后服务能力和故障响应体系，综合评分，最高得20分。</w:t>
            </w:r>
          </w:p>
          <w:p>
            <w:pPr>
              <w:spacing w:line="288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是否有完善的培训体系，综合评分，最高得10分。</w:t>
            </w:r>
          </w:p>
        </w:tc>
      </w:tr>
    </w:tbl>
    <w:p>
      <w:pPr>
        <w:tabs>
          <w:tab w:val="left" w:pos="-200"/>
        </w:tabs>
        <w:ind w:left="0" w:leftChars="0" w:firstLine="0" w:firstLineChars="0"/>
        <w:jc w:val="left"/>
        <w:rPr>
          <w:rFonts w:cs="Arial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2" w:name="_GoBack"/>
      <w:bookmarkEnd w:id="12"/>
    </w:p>
    <w:p>
      <w:pPr>
        <w:pStyle w:val="3"/>
        <w:numPr>
          <w:ilvl w:val="0"/>
          <w:numId w:val="7"/>
        </w:numPr>
        <w:tabs>
          <w:tab w:val="left" w:pos="-200"/>
        </w:tabs>
        <w:ind w:left="0" w:leftChars="0" w:firstLine="0" w:firstLineChars="0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11" w:name="_Toc674"/>
      <w:r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报价部分（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分）</w:t>
      </w:r>
      <w:bookmarkEnd w:id="11"/>
    </w:p>
    <w:tbl>
      <w:tblPr>
        <w:tblStyle w:val="12"/>
        <w:tblpPr w:leftFromText="180" w:rightFromText="180" w:vertAnchor="text" w:horzAnchor="page" w:tblpXSpec="center" w:tblpY="527"/>
        <w:tblOverlap w:val="never"/>
        <w:tblW w:w="8871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57"/>
        <w:gridCol w:w="800"/>
        <w:gridCol w:w="611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  <w:lang w:eastAsia="zh-Hans"/>
              </w:rPr>
            </w:pPr>
            <w:r>
              <w:rPr>
                <w:rFonts w:hint="eastAsia" w:ascii="宋体" w:hAnsi="宋体" w:cs="仿宋_GB2312"/>
                <w:szCs w:val="21"/>
                <w:lang w:eastAsia="zh-Hans"/>
              </w:rPr>
              <w:t>序号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分值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依据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  <w:lang w:eastAsia="zh-Hans"/>
              </w:rPr>
              <w:t>投标</w:t>
            </w:r>
            <w:r>
              <w:rPr>
                <w:rFonts w:hint="eastAsia" w:ascii="宋体" w:hAnsi="宋体" w:cs="仿宋_GB2312"/>
                <w:szCs w:val="21"/>
              </w:rPr>
              <w:t>报价</w:t>
            </w:r>
          </w:p>
        </w:tc>
        <w:tc>
          <w:tcPr>
            <w:tcW w:w="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61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综合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评分法中的价格分统一采用低价优先法计算，即满足要求且最后报价最低的供应商的价格为基准价，其价格分为满分。其他供应商的价格分统一按照下列公式计算：</w:t>
            </w:r>
          </w:p>
          <w:p>
            <w:pPr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报价得分=（基准价/最后报价）×价格分值</w:t>
            </w:r>
          </w:p>
          <w:p>
            <w:pPr>
              <w:widowControl/>
              <w:tabs>
                <w:tab w:val="left" w:pos="-200"/>
              </w:tabs>
              <w:ind w:left="0" w:leftChars="0" w:firstLine="0" w:firstLineChars="0"/>
              <w:jc w:val="left"/>
              <w:rPr>
                <w:rFonts w:ascii="宋体" w:hAnsi="宋体" w:cs="仿宋_GB2312"/>
                <w:szCs w:val="21"/>
              </w:rPr>
            </w:pPr>
          </w:p>
        </w:tc>
      </w:tr>
    </w:tbl>
    <w:p>
      <w:pPr>
        <w:tabs>
          <w:tab w:val="left" w:pos="-200"/>
        </w:tabs>
        <w:ind w:left="0" w:leftChars="0" w:firstLine="0" w:firstLineChars="0"/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9388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07938806"/>
                          </w:sdtPr>
                          <w:sdtContent>
                            <w:p>
                              <w:pPr>
                                <w:pStyle w:val="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07938806"/>
                    </w:sdtPr>
                    <w:sdtContent>
                      <w:p>
                        <w:pPr>
                          <w:pStyle w:val="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16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left"/>
      <w:rPr>
        <w:rFonts w:ascii="仿宋" w:hAnsi="仿宋" w:eastAsia="仿宋"/>
        <w:color w:val="000000" w:themeColor="text1"/>
        <w14:textFill>
          <w14:solidFill>
            <w14:schemeClr w14:val="tx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CB739"/>
    <w:multiLevelType w:val="singleLevel"/>
    <w:tmpl w:val="E3FCB73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A61272D"/>
    <w:multiLevelType w:val="multilevel"/>
    <w:tmpl w:val="1A61272D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500375"/>
    <w:multiLevelType w:val="multilevel"/>
    <w:tmpl w:val="1F500375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AC758E8"/>
    <w:multiLevelType w:val="multilevel"/>
    <w:tmpl w:val="2AC758E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4C87273"/>
    <w:multiLevelType w:val="multilevel"/>
    <w:tmpl w:val="44C87273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A50F62"/>
    <w:multiLevelType w:val="multilevel"/>
    <w:tmpl w:val="68A50F6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75F61CEF"/>
    <w:multiLevelType w:val="multilevel"/>
    <w:tmpl w:val="75F61CE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DRhOWYxNjQ3OTcyMGUxZDFlNzg3MWRhZDlmMWIifQ=="/>
  </w:docVars>
  <w:rsids>
    <w:rsidRoot w:val="2F0944CF"/>
    <w:rsid w:val="01F645BF"/>
    <w:rsid w:val="08457A0E"/>
    <w:rsid w:val="0B280F91"/>
    <w:rsid w:val="10DD77C5"/>
    <w:rsid w:val="12E24340"/>
    <w:rsid w:val="19874772"/>
    <w:rsid w:val="1CF11E86"/>
    <w:rsid w:val="1E085338"/>
    <w:rsid w:val="1FD86672"/>
    <w:rsid w:val="1FF879A3"/>
    <w:rsid w:val="23964CC8"/>
    <w:rsid w:val="23EF79F7"/>
    <w:rsid w:val="245568D7"/>
    <w:rsid w:val="2B4A275F"/>
    <w:rsid w:val="2D136CF6"/>
    <w:rsid w:val="2E6D243F"/>
    <w:rsid w:val="2F0944CF"/>
    <w:rsid w:val="2F7215C9"/>
    <w:rsid w:val="30344140"/>
    <w:rsid w:val="32016E80"/>
    <w:rsid w:val="359F01C7"/>
    <w:rsid w:val="37E13015"/>
    <w:rsid w:val="3D675F02"/>
    <w:rsid w:val="3DCA62DD"/>
    <w:rsid w:val="3EDB0A22"/>
    <w:rsid w:val="3F0A39A3"/>
    <w:rsid w:val="3F6C1B91"/>
    <w:rsid w:val="3F6C534B"/>
    <w:rsid w:val="41A0029A"/>
    <w:rsid w:val="41DF0193"/>
    <w:rsid w:val="46447149"/>
    <w:rsid w:val="46797389"/>
    <w:rsid w:val="47284EAF"/>
    <w:rsid w:val="483E10A5"/>
    <w:rsid w:val="4ADB5F39"/>
    <w:rsid w:val="4AFB3B30"/>
    <w:rsid w:val="51782617"/>
    <w:rsid w:val="5BBA764A"/>
    <w:rsid w:val="5BCC1BDB"/>
    <w:rsid w:val="625A14A1"/>
    <w:rsid w:val="62983C23"/>
    <w:rsid w:val="64A16B26"/>
    <w:rsid w:val="65111C82"/>
    <w:rsid w:val="687409C1"/>
    <w:rsid w:val="6A54056D"/>
    <w:rsid w:val="70F30189"/>
    <w:rsid w:val="770819D9"/>
    <w:rsid w:val="7B6477AA"/>
    <w:rsid w:val="EDFB7B73"/>
    <w:rsid w:val="FAFB5622"/>
    <w:rsid w:val="FBFB9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32"/>
        <w:tab w:val="left" w:pos="960"/>
      </w:tabs>
      <w:spacing w:before="340" w:after="330" w:line="578" w:lineRule="auto"/>
      <w:ind w:left="960" w:hanging="60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 w:val="0"/>
      <w:snapToGrid w:val="0"/>
      <w:spacing w:line="300" w:lineRule="auto"/>
      <w:ind w:firstLine="420"/>
      <w:jc w:val="both"/>
    </w:pPr>
    <w:rPr>
      <w:rFonts w:ascii="Arial" w:hAnsi="Arial" w:eastAsia="宋体"/>
      <w:kern w:val="2"/>
      <w:sz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 Text First Indent 21"/>
    <w:basedOn w:val="1"/>
    <w:autoRedefine/>
    <w:qFormat/>
    <w:uiPriority w:val="0"/>
    <w:pPr>
      <w:ind w:left="420" w:leftChars="200" w:firstLine="420"/>
    </w:pPr>
  </w:style>
  <w:style w:type="paragraph" w:customStyle="1" w:styleId="16">
    <w:name w:val="_Style 1"/>
    <w:autoRedefine/>
    <w:qFormat/>
    <w:uiPriority w:val="0"/>
    <w:rPr>
      <w:rFonts w:ascii="Calibri" w:hAnsi="Calibri" w:eastAsia="宋体" w:cs="宋体"/>
      <w:kern w:val="2"/>
      <w:sz w:val="28"/>
      <w:szCs w:val="22"/>
      <w:lang w:val="en-US" w:eastAsia="zh-CN" w:bidi="ar-SA"/>
    </w:rPr>
  </w:style>
  <w:style w:type="paragraph" w:customStyle="1" w:styleId="17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8">
    <w:name w:val="font3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1">
    <w:name w:val="列出段落2"/>
    <w:basedOn w:val="1"/>
    <w:autoRedefine/>
    <w:qFormat/>
    <w:uiPriority w:val="0"/>
    <w:pPr>
      <w:ind w:firstLine="420"/>
    </w:pPr>
    <w:rPr>
      <w:rFonts w:ascii="Calibri" w:hAnsi="Calibri"/>
    </w:rPr>
  </w:style>
  <w:style w:type="paragraph" w:customStyle="1" w:styleId="22">
    <w:name w:val="段"/>
    <w:next w:val="1"/>
    <w:autoRedefine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1028</Words>
  <Characters>1096</Characters>
  <Lines>0</Lines>
  <Paragraphs>0</Paragraphs>
  <TotalTime>37</TotalTime>
  <ScaleCrop>false</ScaleCrop>
  <LinksUpToDate>false</LinksUpToDate>
  <CharactersWithSpaces>1110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2019-04-24T09:34:00Z</dcterms:created>
  <dc:creator>2017032702</dc:creator>
  <cp:lastModifiedBy>Özyy</cp:lastModifiedBy>
  <dcterms:modified xsi:type="dcterms:W3CDTF">2024-01-16T02:13:45Z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285760A100EF4829856D8B2D74028E76_13</vt:lpwstr>
  </property>
</Properties>
</file>