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eastAsia="zh-CN"/>
        </w:rPr>
        <w:t>鹿城院区南浦部特灵中央空调1#3#主机配件更换维修需求</w:t>
      </w:r>
    </w:p>
    <w:p>
      <w:pPr>
        <w:keepNext w:val="0"/>
        <w:keepLines w:val="0"/>
        <w:widowControl/>
        <w:numPr>
          <w:ilvl w:val="0"/>
          <w:numId w:val="0"/>
        </w:numPr>
        <w:suppressLineNumbers w:val="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cstheme="minorEastAsia"/>
          <w:color w:val="000000"/>
          <w:kern w:val="0"/>
          <w:sz w:val="24"/>
          <w:szCs w:val="24"/>
          <w:highlight w:val="yellow"/>
          <w:lang w:val="en-US" w:eastAsia="zh-CN" w:bidi="ar"/>
        </w:rPr>
        <w:t>限价</w:t>
      </w:r>
      <w:r>
        <w:rPr>
          <w:rFonts w:hint="eastAsia" w:asciiTheme="minorEastAsia" w:hAnsiTheme="minorEastAsia" w:eastAsiaTheme="minorEastAsia" w:cstheme="minorEastAsia"/>
          <w:color w:val="000000"/>
          <w:kern w:val="0"/>
          <w:sz w:val="24"/>
          <w:szCs w:val="24"/>
          <w:highlight w:val="yellow"/>
          <w:lang w:val="en-US" w:eastAsia="zh-CN" w:bidi="ar"/>
        </w:rPr>
        <w:t>金额：</w:t>
      </w:r>
      <w:r>
        <w:rPr>
          <w:rFonts w:hint="eastAsia" w:asciiTheme="minorEastAsia" w:hAnsiTheme="minorEastAsia" w:cstheme="minorEastAsia"/>
          <w:color w:val="000000"/>
          <w:kern w:val="0"/>
          <w:sz w:val="24"/>
          <w:szCs w:val="24"/>
          <w:highlight w:val="yellow"/>
          <w:lang w:val="en-US" w:eastAsia="zh-CN" w:bidi="ar"/>
        </w:rPr>
        <w:t>5.6</w:t>
      </w:r>
      <w:r>
        <w:rPr>
          <w:rFonts w:hint="eastAsia" w:asciiTheme="minorEastAsia" w:hAnsiTheme="minorEastAsia" w:eastAsiaTheme="minorEastAsia" w:cstheme="minorEastAsia"/>
          <w:color w:val="000000"/>
          <w:kern w:val="0"/>
          <w:sz w:val="24"/>
          <w:szCs w:val="24"/>
          <w:highlight w:val="yellow"/>
          <w:lang w:val="en-US" w:eastAsia="zh-CN" w:bidi="ar"/>
        </w:rPr>
        <w:t>万</w:t>
      </w:r>
    </w:p>
    <w:p>
      <w:pPr>
        <w:pStyle w:val="2"/>
        <w:ind w:left="0" w:leftChars="0" w:firstLine="0" w:firstLineChars="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服务期：10日历天</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项目名称：</w:t>
      </w:r>
      <w:r>
        <w:rPr>
          <w:rFonts w:hint="eastAsia" w:asciiTheme="minorEastAsia" w:hAnsiTheme="minorEastAsia" w:eastAsiaTheme="minorEastAsia" w:cstheme="minorEastAsia"/>
          <w:sz w:val="24"/>
          <w:szCs w:val="24"/>
          <w:lang w:val="en-US" w:eastAsia="zh-CN"/>
        </w:rPr>
        <w:t>鹿城院区南浦部特灵中央空调1#3#主机配件更换维修</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项目地点：</w:t>
      </w:r>
      <w:r>
        <w:rPr>
          <w:rFonts w:hint="eastAsia" w:asciiTheme="minorEastAsia" w:hAnsiTheme="minorEastAsia" w:eastAsiaTheme="minorEastAsia" w:cstheme="minorEastAsia"/>
          <w:sz w:val="24"/>
          <w:szCs w:val="24"/>
        </w:rPr>
        <w:t>温州市鹿城区</w:t>
      </w:r>
      <w:r>
        <w:rPr>
          <w:rFonts w:hint="eastAsia" w:asciiTheme="minorEastAsia" w:hAnsiTheme="minorEastAsia" w:eastAsiaTheme="minorEastAsia" w:cstheme="minorEastAsia"/>
          <w:sz w:val="24"/>
          <w:szCs w:val="24"/>
          <w:lang w:eastAsia="zh-CN"/>
        </w:rPr>
        <w:t>划龙桥路</w:t>
      </w:r>
      <w:r>
        <w:rPr>
          <w:rFonts w:hint="eastAsia" w:asciiTheme="minorEastAsia" w:hAnsiTheme="minorEastAsia" w:eastAsiaTheme="minorEastAsia" w:cstheme="minorEastAsia"/>
          <w:sz w:val="24"/>
          <w:szCs w:val="24"/>
          <w:lang w:val="en-US" w:eastAsia="zh-CN"/>
        </w:rPr>
        <w:t>306号</w:t>
      </w:r>
      <w:r>
        <w:rPr>
          <w:rFonts w:hint="eastAsia" w:asciiTheme="minorEastAsia" w:hAnsiTheme="minorEastAsia" w:eastAsiaTheme="minorEastAsia" w:cstheme="minorEastAsia"/>
          <w:sz w:val="24"/>
          <w:szCs w:val="24"/>
        </w:rPr>
        <w:t>。</w:t>
      </w:r>
    </w:p>
    <w:p>
      <w:pPr>
        <w:widowControl/>
        <w:numPr>
          <w:ilvl w:val="1"/>
          <w:numId w:val="1"/>
        </w:numPr>
        <w:tabs>
          <w:tab w:val="left" w:pos="142"/>
          <w:tab w:val="clear" w:pos="786"/>
        </w:tabs>
        <w:spacing w:line="360" w:lineRule="auto"/>
        <w:ind w:left="284"/>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更换维修</w:t>
      </w:r>
      <w:r>
        <w:rPr>
          <w:rFonts w:hint="eastAsia" w:asciiTheme="minorEastAsia" w:hAnsiTheme="minorEastAsia" w:eastAsiaTheme="minorEastAsia" w:cstheme="minorEastAsia"/>
          <w:b/>
          <w:sz w:val="24"/>
          <w:szCs w:val="24"/>
        </w:rPr>
        <w:t>内容</w:t>
      </w:r>
      <w:r>
        <w:rPr>
          <w:rFonts w:hint="eastAsia" w:asciiTheme="minorEastAsia" w:hAnsiTheme="minorEastAsia" w:eastAsiaTheme="minorEastAsia" w:cstheme="minorEastAsia"/>
          <w:b/>
          <w:sz w:val="24"/>
          <w:szCs w:val="24"/>
          <w:lang w:eastAsia="zh-CN"/>
        </w:rPr>
        <w:t>及报价</w:t>
      </w:r>
      <w:r>
        <w:rPr>
          <w:rFonts w:hint="eastAsia" w:asciiTheme="minorEastAsia" w:hAnsiTheme="minorEastAsia" w:eastAsiaTheme="minorEastAsia" w:cstheme="minorEastAsia"/>
          <w:b/>
          <w:sz w:val="24"/>
          <w:szCs w:val="24"/>
        </w:rPr>
        <w:t>：</w:t>
      </w:r>
    </w:p>
    <w:tbl>
      <w:tblPr>
        <w:tblStyle w:val="4"/>
        <w:tblW w:w="7087" w:type="dxa"/>
        <w:jc w:val="center"/>
        <w:tblLayout w:type="fixed"/>
        <w:tblCellMar>
          <w:top w:w="0" w:type="dxa"/>
          <w:left w:w="108" w:type="dxa"/>
          <w:bottom w:w="0" w:type="dxa"/>
          <w:right w:w="108" w:type="dxa"/>
        </w:tblCellMar>
      </w:tblPr>
      <w:tblGrid>
        <w:gridCol w:w="720"/>
        <w:gridCol w:w="2115"/>
        <w:gridCol w:w="1276"/>
        <w:gridCol w:w="992"/>
        <w:gridCol w:w="992"/>
        <w:gridCol w:w="992"/>
      </w:tblGrid>
      <w:tr>
        <w:tblPrEx>
          <w:tblCellMar>
            <w:top w:w="0" w:type="dxa"/>
            <w:left w:w="108" w:type="dxa"/>
            <w:bottom w:w="0" w:type="dxa"/>
            <w:right w:w="108" w:type="dxa"/>
          </w:tblCellMar>
        </w:tblPrEx>
        <w:trPr>
          <w:trHeight w:val="538"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服务内容/产品名称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产品描述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单价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小计</w:t>
            </w:r>
          </w:p>
        </w:tc>
      </w:tr>
      <w:tr>
        <w:tblPrEx>
          <w:tblCellMar>
            <w:top w:w="0" w:type="dxa"/>
            <w:left w:w="108" w:type="dxa"/>
            <w:bottom w:w="0" w:type="dxa"/>
            <w:right w:w="108" w:type="dxa"/>
          </w:tblCellMar>
        </w:tblPrEx>
        <w:trPr>
          <w:trHeight w:val="44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蒸发器底部角阀</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VAL11191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压力传感器角阀</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VAL12856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油箱角阀</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VAL11187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冷凝器角阀</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VAL06939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2个</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吸气口密封胶</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CN</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R134A冷媒</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13.6公斤</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一桶</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R134A</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14桶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7</w:t>
            </w:r>
          </w:p>
        </w:tc>
        <w:tc>
          <w:tcPr>
            <w:tcW w:w="53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4"/>
                <w:szCs w:val="24"/>
                <w:lang w:eastAsia="zh-CN"/>
              </w:rPr>
            </w:pPr>
          </w:p>
        </w:tc>
      </w:tr>
      <w:tr>
        <w:tblPrEx>
          <w:tblCellMar>
            <w:top w:w="0" w:type="dxa"/>
            <w:left w:w="108" w:type="dxa"/>
            <w:bottom w:w="0" w:type="dxa"/>
            <w:right w:w="108" w:type="dxa"/>
          </w:tblCellMar>
        </w:tblPrEx>
        <w:trPr>
          <w:trHeight w:val="420" w:hRule="atLeast"/>
          <w:jc w:val="center"/>
        </w:trPr>
        <w:tc>
          <w:tcPr>
            <w:tcW w:w="708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注：1、维修含系统冷媒回收、氮气查漏、机组调试；</w:t>
            </w:r>
          </w:p>
          <w:p>
            <w:pPr>
              <w:numPr>
                <w:ilvl w:val="0"/>
                <w:numId w:val="2"/>
              </w:numPr>
              <w:ind w:left="84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更换部件质保期12个月；</w:t>
            </w:r>
          </w:p>
          <w:p>
            <w:pPr>
              <w:pStyle w:val="2"/>
              <w:numPr>
                <w:ilvl w:val="0"/>
                <w:numId w:val="2"/>
              </w:numPr>
              <w:ind w:left="840" w:leftChars="0" w:firstLine="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val="en-US" w:eastAsia="zh-CN"/>
              </w:rPr>
              <w:t>报价包含</w:t>
            </w:r>
            <w:r>
              <w:rPr>
                <w:rFonts w:hint="eastAsia" w:asciiTheme="minorEastAsia" w:hAnsiTheme="minorEastAsia" w:cstheme="minorEastAsia"/>
                <w:sz w:val="24"/>
                <w:szCs w:val="24"/>
                <w:highlight w:val="yellow"/>
                <w:lang w:val="en-US" w:eastAsia="zh-CN"/>
              </w:rPr>
              <w:t>服务人工费、配件及耗材费、</w:t>
            </w:r>
            <w:r>
              <w:rPr>
                <w:rFonts w:hint="eastAsia" w:asciiTheme="minorEastAsia" w:hAnsiTheme="minorEastAsia" w:eastAsiaTheme="minorEastAsia" w:cstheme="minorEastAsia"/>
                <w:sz w:val="24"/>
                <w:szCs w:val="24"/>
                <w:highlight w:val="yellow"/>
                <w:lang w:val="en-US" w:eastAsia="zh-CN"/>
              </w:rPr>
              <w:t>税费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w:t>
            </w:r>
          </w:p>
        </w:tc>
      </w:tr>
    </w:tbl>
    <w:p>
      <w:pPr>
        <w:spacing w:line="360" w:lineRule="auto"/>
        <w:ind w:left="240" w:hanging="240" w:hangingChars="1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费用结算：</w:t>
      </w:r>
      <w:r>
        <w:rPr>
          <w:rFonts w:hint="eastAsia" w:asciiTheme="minorEastAsia" w:hAnsiTheme="minorEastAsia" w:eastAsiaTheme="minorEastAsia" w:cstheme="minorEastAsia"/>
          <w:b w:val="0"/>
          <w:bCs/>
          <w:sz w:val="24"/>
          <w:szCs w:val="24"/>
          <w:lang w:eastAsia="zh-CN"/>
        </w:rPr>
        <w:t>合同签订后水力控制阀</w:t>
      </w:r>
      <w:r>
        <w:rPr>
          <w:rFonts w:hint="eastAsia" w:asciiTheme="minorEastAsia" w:hAnsiTheme="minorEastAsia" w:eastAsiaTheme="minorEastAsia" w:cstheme="minorEastAsia"/>
          <w:b w:val="0"/>
          <w:bCs/>
          <w:sz w:val="24"/>
          <w:szCs w:val="24"/>
          <w:lang w:val="en-US" w:eastAsia="zh-CN"/>
        </w:rPr>
        <w:t>更换</w:t>
      </w:r>
      <w:r>
        <w:rPr>
          <w:rFonts w:hint="eastAsia" w:asciiTheme="minorEastAsia" w:hAnsiTheme="minorEastAsia" w:eastAsiaTheme="minorEastAsia" w:cstheme="minorEastAsia"/>
          <w:b w:val="0"/>
          <w:bCs/>
          <w:sz w:val="24"/>
          <w:szCs w:val="24"/>
        </w:rPr>
        <w:t>结束</w:t>
      </w:r>
      <w:r>
        <w:rPr>
          <w:rFonts w:hint="eastAsia" w:asciiTheme="minorEastAsia" w:hAnsiTheme="minorEastAsia" w:eastAsiaTheme="minorEastAsia" w:cstheme="minorEastAsia"/>
          <w:b w:val="0"/>
          <w:bCs/>
          <w:sz w:val="24"/>
          <w:szCs w:val="24"/>
          <w:lang w:eastAsia="zh-CN"/>
        </w:rPr>
        <w:t>经甲方确认验收合格</w:t>
      </w:r>
      <w:r>
        <w:rPr>
          <w:rFonts w:hint="eastAsia" w:asciiTheme="minorEastAsia" w:hAnsiTheme="minorEastAsia" w:eastAsiaTheme="minorEastAsia" w:cstheme="minorEastAsia"/>
          <w:b w:val="0"/>
          <w:bCs/>
          <w:sz w:val="24"/>
          <w:szCs w:val="24"/>
        </w:rPr>
        <w:t>正常运行</w:t>
      </w:r>
      <w:r>
        <w:rPr>
          <w:rFonts w:hint="eastAsia" w:asciiTheme="minorEastAsia" w:hAnsiTheme="minorEastAsia" w:eastAsiaTheme="minorEastAsia" w:cstheme="minorEastAsia"/>
          <w:b w:val="0"/>
          <w:bCs/>
          <w:sz w:val="24"/>
          <w:szCs w:val="24"/>
          <w:lang w:val="en-US" w:eastAsia="zh-CN"/>
        </w:rPr>
        <w:t>10天</w:t>
      </w:r>
      <w:r>
        <w:rPr>
          <w:rFonts w:hint="eastAsia" w:asciiTheme="minorEastAsia" w:hAnsiTheme="minorEastAsia" w:eastAsiaTheme="minorEastAsia" w:cstheme="minorEastAsia"/>
          <w:b w:val="0"/>
          <w:bCs/>
          <w:sz w:val="24"/>
          <w:szCs w:val="24"/>
        </w:rPr>
        <w:t>后</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乙方开具对应数额的符合甲方财务要求的正式发票后，甲方在审批完成后7 日内支付100%款项。</w:t>
      </w:r>
    </w:p>
    <w:p>
      <w:pPr>
        <w:widowControl/>
        <w:numPr>
          <w:ilvl w:val="0"/>
          <w:numId w:val="0"/>
        </w:numPr>
        <w:tabs>
          <w:tab w:val="left" w:pos="142"/>
        </w:tabs>
        <w:spacing w:line="360" w:lineRule="auto"/>
        <w:ind w:left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lang w:eastAsia="zh-CN"/>
        </w:rPr>
        <w:t>甲方</w:t>
      </w:r>
      <w:r>
        <w:rPr>
          <w:rFonts w:hint="eastAsia" w:asciiTheme="minorEastAsia" w:hAnsiTheme="minorEastAsia" w:eastAsiaTheme="minorEastAsia" w:cstheme="minorEastAsia"/>
          <w:b w:val="0"/>
          <w:bCs/>
          <w:sz w:val="24"/>
          <w:szCs w:val="24"/>
        </w:rPr>
        <w:t>义务</w:t>
      </w:r>
      <w:r>
        <w:rPr>
          <w:rFonts w:hint="eastAsia" w:asciiTheme="minorEastAsia" w:hAnsiTheme="minorEastAsia" w:eastAsiaTheme="minorEastAsia" w:cstheme="min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5.1</w:t>
      </w:r>
      <w:r>
        <w:rPr>
          <w:rFonts w:hint="eastAsia" w:asciiTheme="minorEastAsia" w:hAnsiTheme="minorEastAsia" w:eastAsiaTheme="minorEastAsia" w:cstheme="minorEastAsia"/>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5.2</w:t>
      </w:r>
      <w:r>
        <w:rPr>
          <w:rFonts w:hint="eastAsia" w:asciiTheme="minorEastAsia" w:hAnsiTheme="minorEastAsia" w:eastAsiaTheme="minorEastAsia" w:cstheme="minorEastAsia"/>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5.3</w:t>
      </w:r>
      <w:r>
        <w:rPr>
          <w:rFonts w:hint="eastAsia" w:asciiTheme="minorEastAsia" w:hAnsiTheme="minorEastAsia" w:eastAsiaTheme="minorEastAsia" w:cstheme="minorEastAsia"/>
          <w:b w:val="0"/>
          <w:bCs/>
          <w:sz w:val="24"/>
          <w:szCs w:val="24"/>
        </w:rPr>
        <w:t>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5.4</w:t>
      </w:r>
      <w:r>
        <w:rPr>
          <w:rFonts w:hint="eastAsia" w:asciiTheme="minorEastAsia" w:hAnsiTheme="minorEastAsia" w:eastAsiaTheme="minorEastAsia" w:cstheme="minorEastAsia"/>
          <w:b w:val="0"/>
          <w:bCs/>
          <w:sz w:val="24"/>
          <w:szCs w:val="24"/>
        </w:rPr>
        <w:t>甲方应按合同约定向乙方支付服务费用。</w:t>
      </w:r>
    </w:p>
    <w:p>
      <w:pPr>
        <w:widowControl/>
        <w:numPr>
          <w:ilvl w:val="0"/>
          <w:numId w:val="0"/>
        </w:numPr>
        <w:tabs>
          <w:tab w:val="left" w:pos="142"/>
        </w:tabs>
        <w:spacing w:line="360" w:lineRule="auto"/>
        <w:ind w:left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乙方义务</w:t>
      </w:r>
      <w:r>
        <w:rPr>
          <w:rFonts w:hint="eastAsia" w:asciiTheme="minorEastAsia" w:hAnsiTheme="minorEastAsia" w:eastAsiaTheme="minorEastAsia" w:cstheme="minorEastAsia"/>
          <w:b w:val="0"/>
          <w:bCs/>
          <w:sz w:val="24"/>
          <w:szCs w:val="24"/>
          <w:lang w:eastAsia="zh-CN"/>
        </w:rPr>
        <w:t>：</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6.1</w:t>
      </w:r>
      <w:r>
        <w:rPr>
          <w:rFonts w:hint="eastAsia" w:asciiTheme="minorEastAsia" w:hAnsiTheme="minorEastAsia" w:eastAsiaTheme="minorEastAsia" w:cstheme="minorEastAsia"/>
          <w:b w:val="0"/>
          <w:bCs/>
          <w:sz w:val="24"/>
          <w:szCs w:val="24"/>
        </w:rPr>
        <w:t>乙方应在约定的工期内完成维修，如遇特殊情况无法完成的，应及时通知甲方，双方协商一致后再行确定工期。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6.2</w:t>
      </w:r>
      <w:r>
        <w:rPr>
          <w:rFonts w:hint="eastAsia" w:asciiTheme="minorEastAsia" w:hAnsiTheme="minorEastAsia" w:eastAsiaTheme="minorEastAsia" w:cstheme="minorEastAsia"/>
          <w:b w:val="0"/>
          <w:bCs/>
          <w:sz w:val="24"/>
          <w:szCs w:val="24"/>
        </w:rPr>
        <w:t>乙方在进行维修工作时应遵守甲方书面告知的各项管理制度及安全操作制度，如有争议应通知甲方相关人员解决，不得与甲方及第三方工作人员发生冲突。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6.3</w:t>
      </w:r>
      <w:r>
        <w:rPr>
          <w:rFonts w:hint="eastAsia" w:asciiTheme="minorEastAsia" w:hAnsiTheme="minorEastAsia" w:eastAsiaTheme="minorEastAsia" w:cstheme="minorEastAsia"/>
          <w:b w:val="0"/>
          <w:bCs/>
          <w:sz w:val="24"/>
          <w:szCs w:val="24"/>
        </w:rPr>
        <w:t>维修工作完成后，应及时清理维修过程中产生的垃圾，做到工完场清。</w:t>
      </w:r>
    </w:p>
    <w:p>
      <w:pPr>
        <w:numPr>
          <w:ilvl w:val="0"/>
          <w:numId w:val="0"/>
        </w:numPr>
        <w:tabs>
          <w:tab w:val="left" w:pos="142"/>
        </w:tabs>
        <w:spacing w:line="360" w:lineRule="auto"/>
        <w:ind w:firstLine="240" w:firstLineChars="100"/>
        <w:rPr>
          <w:rFonts w:hint="eastAsia" w:asciiTheme="minorEastAsia" w:hAnsiTheme="minorEastAsia" w:eastAsiaTheme="minorEastAsia" w:cstheme="minorEastAsia"/>
          <w:bCs/>
          <w:kern w:val="2"/>
          <w:sz w:val="24"/>
          <w:szCs w:val="24"/>
          <w:shd w:val="clear" w:color="auto" w:fill="auto"/>
          <w:lang w:bidi="ar-SA"/>
        </w:rPr>
      </w:pPr>
      <w:r>
        <w:rPr>
          <w:rFonts w:hint="eastAsia" w:asciiTheme="minorEastAsia" w:hAnsiTheme="minorEastAsia" w:eastAsiaTheme="minorEastAsia" w:cstheme="minorEastAsia"/>
          <w:b w:val="0"/>
          <w:bCs/>
          <w:kern w:val="2"/>
          <w:sz w:val="24"/>
          <w:szCs w:val="24"/>
          <w:lang w:val="en-US" w:eastAsia="zh-CN" w:bidi="ar-SA"/>
        </w:rPr>
        <w:t>6.4</w:t>
      </w:r>
      <w:r>
        <w:rPr>
          <w:rFonts w:hint="eastAsia" w:asciiTheme="minorEastAsia" w:hAnsiTheme="minorEastAsia" w:eastAsiaTheme="minorEastAsia" w:cstheme="minorEastAsia"/>
          <w:bCs/>
          <w:kern w:val="2"/>
          <w:sz w:val="24"/>
          <w:szCs w:val="24"/>
          <w:shd w:val="clear" w:color="auto" w:fill="auto"/>
          <w:lang w:bidi="ar-SA"/>
        </w:rPr>
        <w:t>设备维修验收合格后12个月质保期内，如经维修，乙方所更换的设备、材料仍无法达到正常使用标准的，乙方须进行无条件更换。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bCs/>
          <w:sz w:val="24"/>
          <w:szCs w:val="24"/>
          <w:shd w:val="clear" w:color="auto" w:fill="auto"/>
          <w:lang w:val="en-US" w:eastAsia="zh-CN"/>
        </w:rPr>
        <w:t>6.5</w:t>
      </w:r>
      <w:r>
        <w:rPr>
          <w:rFonts w:hint="eastAsia" w:asciiTheme="minorEastAsia" w:hAnsiTheme="minorEastAsia" w:eastAsiaTheme="minorEastAsia" w:cstheme="minorEastAsia"/>
          <w:bCs/>
          <w:sz w:val="24"/>
          <w:szCs w:val="24"/>
          <w:shd w:val="clear" w:color="auto" w:fill="auto"/>
        </w:rPr>
        <w:t>乙方在作业过程中应注重安全文明施工，如因乙方原因导致其自身、甲方、第三方人身、财产损失的，由乙方承担所有责任。</w:t>
      </w:r>
    </w:p>
    <w:p>
      <w:pPr>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违约责任</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、除不可抗力因素外，乙方有下列情形之一的，甲方有权解除合同，乙方按照合同总金额的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%支付违约金，若违约金不足以抵付甲方损失的，乙方还应根据甲方实际经济损失补足差额。</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（1）拒绝履行合同义务，擅自解除合同的；</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（2）乙方因自身经营原因，无法继续履行合同，要求终止合同；</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（4）未经甲方同意，乙方转包、分包合同事务，在承包区域内从事未经甲方认可的承包工作。</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（5）乙方出现重大管理不到位（如已影响甲方公众形象、声誉的），有多次投诉而得不到纠正的。</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（6）合同约定的甲方可以解除合同的其他情形。</w:t>
      </w:r>
    </w:p>
    <w:p>
      <w:pPr>
        <w:pStyle w:val="7"/>
        <w:spacing w:line="360" w:lineRule="auto"/>
        <w:ind w:left="24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2、服务期间，非不可抗力，甲方擅自解除本合同，甲方按照合同总金额的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%支付违约金。若违约金不足以抵付乙方损失的，甲方还应根据乙方实际经济损失补足差额。</w:t>
      </w:r>
    </w:p>
    <w:p>
      <w:pPr>
        <w:autoSpaceDE w:val="0"/>
        <w:spacing w:line="360" w:lineRule="auto"/>
        <w:ind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3、因不可抗力因素造成本合同无法执行，任意一方可终止本合同，无需做出任何赔偿。经双方协商同意可终止部分或全部合同的，无须承担违约责任。</w:t>
      </w:r>
    </w:p>
    <w:p>
      <w:pPr>
        <w:rPr>
          <w:rFonts w:hint="eastAsia" w:asciiTheme="minorEastAsia" w:hAnsiTheme="minorEastAsia" w:eastAsiaTheme="minorEastAsia" w:cstheme="min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1698C"/>
    <w:multiLevelType w:val="singleLevel"/>
    <w:tmpl w:val="D4D1698C"/>
    <w:lvl w:ilvl="0" w:tentative="0">
      <w:start w:val="2"/>
      <w:numFmt w:val="decimal"/>
      <w:suff w:val="nothing"/>
      <w:lvlText w:val="%1、"/>
      <w:lvlJc w:val="left"/>
      <w:pPr>
        <w:ind w:left="840" w:leftChars="0" w:firstLine="0" w:firstLineChars="0"/>
      </w:pPr>
    </w:lvl>
  </w:abstractNum>
  <w:abstractNum w:abstractNumId="1">
    <w:nsid w:val="57A070AF"/>
    <w:multiLevelType w:val="multilevel"/>
    <w:tmpl w:val="57A070AF"/>
    <w:lvl w:ilvl="0" w:tentative="0">
      <w:start w:val="1"/>
      <w:numFmt w:val="japaneseCounting"/>
      <w:lvlText w:val="%1、"/>
      <w:lvlJc w:val="left"/>
      <w:pPr>
        <w:tabs>
          <w:tab w:val="left" w:pos="779"/>
        </w:tabs>
        <w:ind w:left="779" w:hanging="420"/>
      </w:pPr>
      <w:rPr>
        <w:rFonts w:hint="eastAsia"/>
      </w:rPr>
    </w:lvl>
    <w:lvl w:ilvl="1" w:tentative="0">
      <w:start w:val="1"/>
      <w:numFmt w:val="decimal"/>
      <w:lvlText w:val="%2、"/>
      <w:lvlJc w:val="left"/>
      <w:pPr>
        <w:tabs>
          <w:tab w:val="left" w:pos="786"/>
        </w:tabs>
        <w:ind w:left="786" w:hanging="360"/>
      </w:pPr>
      <w:rPr>
        <w:rFonts w:ascii="华文仿宋" w:hAnsi="华文仿宋" w:eastAsia="华文仿宋" w:cs="Times New Roman"/>
        <w:b/>
      </w:rPr>
    </w:lvl>
    <w:lvl w:ilvl="2" w:tentative="0">
      <w:start w:val="1"/>
      <w:numFmt w:val="decimal"/>
      <w:lvlText w:val="%3)"/>
      <w:lvlJc w:val="left"/>
      <w:pPr>
        <w:tabs>
          <w:tab w:val="left" w:pos="1619"/>
        </w:tabs>
        <w:ind w:left="1619" w:hanging="420"/>
      </w:pPr>
      <w:rPr>
        <w:rFonts w:hint="eastAsia"/>
      </w:rPr>
    </w:lvl>
    <w:lvl w:ilvl="3" w:tentative="0">
      <w:start w:val="7"/>
      <w:numFmt w:val="decimal"/>
      <w:lvlText w:val="%4、"/>
      <w:lvlJc w:val="left"/>
      <w:pPr>
        <w:tabs>
          <w:tab w:val="left" w:pos="2039"/>
        </w:tabs>
        <w:ind w:left="2039" w:hanging="420"/>
      </w:pPr>
      <w:rPr>
        <w:rFonts w:hint="default"/>
      </w:rPr>
    </w:lvl>
    <w:lvl w:ilvl="4" w:tentative="0">
      <w:start w:val="1"/>
      <w:numFmt w:val="decimal"/>
      <w:lvlText w:val="%5)"/>
      <w:lvlJc w:val="left"/>
      <w:pPr>
        <w:tabs>
          <w:tab w:val="left" w:pos="2459"/>
        </w:tabs>
        <w:ind w:left="2459" w:hanging="420"/>
      </w:pPr>
      <w:rPr>
        <w:rFonts w:hint="eastAsia"/>
      </w:rPr>
    </w:lvl>
    <w:lvl w:ilvl="5" w:tentative="0">
      <w:start w:val="1"/>
      <w:numFmt w:val="decimalEnclosedCircle"/>
      <w:lvlText w:val="%6"/>
      <w:lvlJc w:val="left"/>
      <w:pPr>
        <w:ind w:left="2819" w:hanging="360"/>
      </w:pPr>
      <w:rPr>
        <w:rFonts w:hint="default"/>
      </w:r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0CF6E60"/>
    <w:rsid w:val="0082287C"/>
    <w:rsid w:val="00963768"/>
    <w:rsid w:val="018D3949"/>
    <w:rsid w:val="0193488C"/>
    <w:rsid w:val="07C0782B"/>
    <w:rsid w:val="0A187F18"/>
    <w:rsid w:val="0B917C0C"/>
    <w:rsid w:val="1F710256"/>
    <w:rsid w:val="3F8F4699"/>
    <w:rsid w:val="42DD5613"/>
    <w:rsid w:val="43D16466"/>
    <w:rsid w:val="43F45A0A"/>
    <w:rsid w:val="4F536077"/>
    <w:rsid w:val="50CF6E60"/>
    <w:rsid w:val="54DC15A2"/>
    <w:rsid w:val="598C74CC"/>
    <w:rsid w:val="6CF43042"/>
    <w:rsid w:val="7B3B15B1"/>
    <w:rsid w:val="7EEA546C"/>
    <w:rsid w:val="7FC3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1523</Words>
  <Characters>1689</Characters>
  <Lines>0</Lines>
  <Paragraphs>0</Paragraphs>
  <TotalTime>0</TotalTime>
  <ScaleCrop>false</ScaleCrop>
  <LinksUpToDate>false</LinksUpToDate>
  <CharactersWithSpaces>1722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2023-03-15T02:15:00Z</dcterms:created>
  <dc:creator>杰</dc:creator>
  <cp:lastModifiedBy>郑听</cp:lastModifiedBy>
  <dcterms:modified xsi:type="dcterms:W3CDTF">2023-06-07T03:22:33Z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430F2EB1E9934A84991C53230E36DEF0_13</vt:lpwstr>
  </property>
</Properties>
</file>