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rPr>
        <w:t>一、项目名称：</w:t>
      </w:r>
      <w:r>
        <w:rPr>
          <w:rFonts w:hint="eastAsia"/>
        </w:rPr>
        <w:t>温州医科大学第二临床医学院、附属第二医院、育英儿童医院不良事件信息系统维保主要内容和技术经济指标：</w:t>
      </w:r>
    </w:p>
    <w:p>
      <w:r>
        <w:rPr>
          <w:rFonts w:hint="eastAsia"/>
        </w:rPr>
        <w:t>1、邀请采购。</w:t>
      </w:r>
    </w:p>
    <w:p>
      <w:r>
        <w:rPr>
          <w:rFonts w:hint="eastAsia"/>
        </w:rPr>
        <w:t>2、项目：不良事件</w:t>
      </w:r>
      <w:r>
        <w:rPr>
          <w:rFonts w:ascii="宋体" w:hAnsi="宋体" w:cs="宋体"/>
          <w:kern w:val="0"/>
          <w:szCs w:val="20"/>
        </w:rPr>
        <w:t>信息</w:t>
      </w:r>
      <w:r>
        <w:rPr>
          <w:rFonts w:hint="eastAsia"/>
        </w:rPr>
        <w:t>系统的维保服务。</w:t>
      </w:r>
    </w:p>
    <w:p>
      <w:r>
        <w:rPr>
          <w:rFonts w:hint="eastAsia"/>
        </w:rPr>
        <w:t>3、本次院内采购最高限价1.8万元人民币。</w:t>
      </w:r>
    </w:p>
    <w:p>
      <w:r>
        <w:rPr>
          <w:rFonts w:hint="eastAsia"/>
          <w:b/>
          <w:bCs/>
        </w:rPr>
        <w:t>二、采购方信息：</w:t>
      </w:r>
    </w:p>
    <w:p>
      <w:r>
        <w:rPr>
          <w:rFonts w:hint="eastAsia"/>
        </w:rPr>
        <w:t>名称：温州医科大学附属第二医院、育英儿童医院</w:t>
      </w:r>
    </w:p>
    <w:p>
      <w:r>
        <w:rPr>
          <w:rFonts w:hint="eastAsia"/>
        </w:rPr>
        <w:t>通讯地址：温州市龙湾区瑶溪镇曹龙路1111号温州医科大学附属第二医院龙湾院区  邮 编：325027 </w:t>
      </w:r>
    </w:p>
    <w:p>
      <w:r>
        <w:rPr>
          <w:rFonts w:hint="eastAsia"/>
        </w:rPr>
        <w:t>网  址：www.wzhealth.com</w:t>
      </w:r>
    </w:p>
    <w:p>
      <w:r>
        <w:rPr>
          <w:rFonts w:hint="eastAsia"/>
        </w:rPr>
        <w:t>联 系 人：信息中心/大数据中心 周女士（手机：</w:t>
      </w:r>
      <w:r>
        <w:t>13989758856</w:t>
      </w:r>
      <w:r>
        <w:rPr>
          <w:rFonts w:hint="eastAsia"/>
        </w:rPr>
        <w:t>）</w:t>
      </w:r>
    </w:p>
    <w:p>
      <w:r>
        <w:rPr>
          <w:rFonts w:hint="eastAsia"/>
        </w:rPr>
        <w:t>报名邮箱：feyxxjsk@wzhealth.com</w:t>
      </w:r>
    </w:p>
    <w:p>
      <w:r>
        <w:rPr>
          <w:rFonts w:hint="eastAsia"/>
          <w:b/>
          <w:bCs/>
        </w:rPr>
        <w:t>三、采购项目内容、数量：</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700"/>
        <w:gridCol w:w="170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Pr>
          <w:p>
            <w:pPr>
              <w:rPr>
                <w:b/>
                <w:bCs/>
                <w:kern w:val="0"/>
                <w:szCs w:val="20"/>
              </w:rPr>
            </w:pPr>
            <w:r>
              <w:rPr>
                <w:rFonts w:hint="eastAsia"/>
                <w:b/>
                <w:bCs/>
                <w:kern w:val="0"/>
              </w:rPr>
              <w:t>项目名称</w:t>
            </w:r>
          </w:p>
        </w:tc>
        <w:tc>
          <w:tcPr>
            <w:tcW w:w="2700" w:type="dxa"/>
          </w:tcPr>
          <w:p>
            <w:pPr>
              <w:rPr>
                <w:b/>
                <w:bCs/>
                <w:kern w:val="0"/>
                <w:szCs w:val="20"/>
              </w:rPr>
            </w:pPr>
            <w:r>
              <w:rPr>
                <w:rFonts w:hint="eastAsia"/>
                <w:b/>
                <w:bCs/>
                <w:kern w:val="0"/>
              </w:rPr>
              <w:t>项目内容</w:t>
            </w:r>
          </w:p>
        </w:tc>
        <w:tc>
          <w:tcPr>
            <w:tcW w:w="1708" w:type="dxa"/>
          </w:tcPr>
          <w:p>
            <w:pPr>
              <w:rPr>
                <w:b/>
                <w:bCs/>
                <w:kern w:val="0"/>
                <w:szCs w:val="20"/>
              </w:rPr>
            </w:pPr>
            <w:r>
              <w:rPr>
                <w:rFonts w:hint="eastAsia"/>
                <w:b/>
                <w:bCs/>
                <w:kern w:val="0"/>
              </w:rPr>
              <w:t>价格</w:t>
            </w:r>
          </w:p>
        </w:tc>
        <w:tc>
          <w:tcPr>
            <w:tcW w:w="2364" w:type="dxa"/>
          </w:tcPr>
          <w:p>
            <w:pPr>
              <w:rPr>
                <w:b/>
                <w:bCs/>
                <w:kern w:val="0"/>
                <w:szCs w:val="20"/>
              </w:rPr>
            </w:pPr>
            <w:r>
              <w:rPr>
                <w:rFonts w:hint="eastAsia"/>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rPr>
                <w:bCs/>
                <w:kern w:val="0"/>
                <w:szCs w:val="20"/>
              </w:rPr>
            </w:pPr>
            <w:r>
              <w:rPr>
                <w:rFonts w:hint="eastAsia"/>
                <w:bCs/>
                <w:kern w:val="0"/>
              </w:rPr>
              <w:t>不良事件管理系统售后服务</w:t>
            </w:r>
          </w:p>
        </w:tc>
        <w:tc>
          <w:tcPr>
            <w:tcW w:w="2700" w:type="dxa"/>
            <w:vAlign w:val="center"/>
          </w:tcPr>
          <w:p>
            <w:pPr>
              <w:rPr>
                <w:bCs/>
                <w:kern w:val="0"/>
                <w:szCs w:val="20"/>
              </w:rPr>
            </w:pPr>
            <w:r>
              <w:rPr>
                <w:rFonts w:hint="eastAsia"/>
                <w:bCs/>
                <w:kern w:val="0"/>
              </w:rPr>
              <w:t>不良事件管理系统</w:t>
            </w:r>
          </w:p>
        </w:tc>
        <w:tc>
          <w:tcPr>
            <w:tcW w:w="1708" w:type="dxa"/>
            <w:vAlign w:val="center"/>
          </w:tcPr>
          <w:p>
            <w:pPr>
              <w:rPr>
                <w:bCs/>
                <w:kern w:val="0"/>
                <w:szCs w:val="20"/>
              </w:rPr>
            </w:pPr>
            <w:r>
              <w:rPr>
                <w:rFonts w:hint="eastAsia"/>
                <w:bCs/>
                <w:kern w:val="0"/>
              </w:rPr>
              <w:t>18000元/年</w:t>
            </w:r>
          </w:p>
        </w:tc>
        <w:tc>
          <w:tcPr>
            <w:tcW w:w="2364" w:type="dxa"/>
            <w:vAlign w:val="center"/>
          </w:tcPr>
          <w:p>
            <w:pPr>
              <w:rPr>
                <w:bCs/>
                <w:kern w:val="0"/>
                <w:szCs w:val="20"/>
              </w:rPr>
            </w:pPr>
            <w:r>
              <w:rPr>
                <w:rFonts w:hint="eastAsia"/>
                <w:bCs/>
                <w:kern w:val="0"/>
                <w:szCs w:val="20"/>
              </w:rPr>
              <w:t>一年维保</w:t>
            </w:r>
          </w:p>
        </w:tc>
      </w:tr>
    </w:tbl>
    <w:p>
      <w:pPr>
        <w:rPr>
          <w:b/>
          <w:bCs/>
        </w:rPr>
      </w:pPr>
      <w:r>
        <w:rPr>
          <w:rFonts w:hint="eastAsia"/>
          <w:b/>
          <w:bCs/>
        </w:rPr>
        <w:t>四、维保内容</w:t>
      </w:r>
    </w:p>
    <w:p>
      <w:pPr>
        <w:numPr>
          <w:ilvl w:val="0"/>
          <w:numId w:val="1"/>
        </w:numPr>
        <w:spacing w:line="360" w:lineRule="auto"/>
        <w:rPr>
          <w:rFonts w:ascii="宋体" w:hAnsi="宋体" w:cs="宋体"/>
          <w:sz w:val="24"/>
        </w:rPr>
      </w:pPr>
      <w:r>
        <w:rPr>
          <w:rFonts w:hint="eastAsia" w:ascii="宋体" w:hAnsi="宋体" w:cs="宋体"/>
          <w:sz w:val="24"/>
          <w:szCs w:val="24"/>
        </w:rPr>
        <w:t>年服务内容(按医院实际需要可提供以下服务内容)</w:t>
      </w:r>
    </w:p>
    <w:tbl>
      <w:tblPr>
        <w:tblStyle w:val="6"/>
        <w:tblW w:w="9204" w:type="dxa"/>
        <w:jc w:val="center"/>
        <w:tblLayout w:type="fixed"/>
        <w:tblCellMar>
          <w:top w:w="0" w:type="dxa"/>
          <w:left w:w="108" w:type="dxa"/>
          <w:bottom w:w="0" w:type="dxa"/>
          <w:right w:w="108" w:type="dxa"/>
        </w:tblCellMar>
      </w:tblPr>
      <w:tblGrid>
        <w:gridCol w:w="1586"/>
        <w:gridCol w:w="6325"/>
        <w:gridCol w:w="1293"/>
      </w:tblGrid>
      <w:tr>
        <w:tblPrEx>
          <w:tblCellMar>
            <w:top w:w="0" w:type="dxa"/>
            <w:left w:w="108" w:type="dxa"/>
            <w:bottom w:w="0" w:type="dxa"/>
            <w:right w:w="108" w:type="dxa"/>
          </w:tblCellMar>
        </w:tblPrEx>
        <w:trPr>
          <w:trHeight w:val="454"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0"/>
              <w:spacing w:line="360" w:lineRule="auto"/>
              <w:rPr>
                <w:rFonts w:ascii="宋体" w:hAnsi="宋体" w:eastAsia="宋体" w:cs="宋体"/>
                <w:b/>
                <w:sz w:val="21"/>
                <w:szCs w:val="21"/>
              </w:rPr>
            </w:pPr>
            <w:r>
              <w:rPr>
                <w:rFonts w:hint="eastAsia" w:ascii="宋体" w:hAnsi="宋体" w:eastAsia="宋体" w:cs="宋体"/>
                <w:b/>
                <w:sz w:val="21"/>
                <w:szCs w:val="21"/>
              </w:rPr>
              <w:t>服务项目</w:t>
            </w:r>
          </w:p>
        </w:tc>
        <w:tc>
          <w:tcPr>
            <w:tcW w:w="6325" w:type="dxa"/>
            <w:tcBorders>
              <w:top w:val="single" w:color="000000" w:sz="4" w:space="0"/>
              <w:left w:val="nil"/>
              <w:bottom w:val="single" w:color="000000" w:sz="4" w:space="0"/>
              <w:right w:val="single" w:color="000000" w:sz="4" w:space="0"/>
            </w:tcBorders>
            <w:shd w:val="clear" w:color="auto" w:fill="BFBFBF"/>
            <w:vAlign w:val="center"/>
          </w:tcPr>
          <w:p>
            <w:pPr>
              <w:pStyle w:val="10"/>
              <w:spacing w:line="360" w:lineRule="auto"/>
              <w:rPr>
                <w:rFonts w:ascii="宋体" w:hAnsi="宋体" w:eastAsia="宋体" w:cs="宋体"/>
                <w:b/>
                <w:sz w:val="21"/>
                <w:szCs w:val="21"/>
              </w:rPr>
            </w:pPr>
            <w:r>
              <w:rPr>
                <w:rFonts w:hint="eastAsia" w:ascii="宋体" w:hAnsi="宋体" w:eastAsia="宋体" w:cs="宋体"/>
                <w:b/>
                <w:sz w:val="21"/>
                <w:szCs w:val="21"/>
              </w:rPr>
              <w:t>服务方式</w:t>
            </w:r>
          </w:p>
        </w:tc>
        <w:tc>
          <w:tcPr>
            <w:tcW w:w="1293" w:type="dxa"/>
            <w:tcBorders>
              <w:top w:val="single" w:color="000000" w:sz="4" w:space="0"/>
              <w:left w:val="nil"/>
              <w:bottom w:val="single" w:color="000000" w:sz="4" w:space="0"/>
              <w:right w:val="single" w:color="000000" w:sz="4" w:space="0"/>
            </w:tcBorders>
            <w:shd w:val="clear" w:color="auto" w:fill="BFBFBF"/>
            <w:vAlign w:val="center"/>
          </w:tcPr>
          <w:p>
            <w:pPr>
              <w:pStyle w:val="10"/>
              <w:spacing w:line="360" w:lineRule="auto"/>
              <w:rPr>
                <w:rFonts w:ascii="宋体" w:hAnsi="宋体" w:eastAsia="宋体" w:cs="宋体"/>
                <w:b/>
                <w:sz w:val="21"/>
                <w:szCs w:val="21"/>
              </w:rPr>
            </w:pPr>
            <w:r>
              <w:rPr>
                <w:rFonts w:hint="eastAsia" w:ascii="宋体" w:hAnsi="宋体" w:eastAsia="宋体" w:cs="宋体"/>
                <w:b/>
                <w:sz w:val="21"/>
                <w:szCs w:val="21"/>
              </w:rPr>
              <w:t>服务周期</w:t>
            </w:r>
          </w:p>
        </w:tc>
      </w:tr>
      <w:tr>
        <w:tblPrEx>
          <w:tblCellMar>
            <w:top w:w="0" w:type="dxa"/>
            <w:left w:w="108" w:type="dxa"/>
            <w:bottom w:w="0" w:type="dxa"/>
            <w:right w:w="108" w:type="dxa"/>
          </w:tblCellMar>
        </w:tblPrEx>
        <w:trPr>
          <w:trHeight w:val="454" w:hRule="atLeast"/>
          <w:jc w:val="center"/>
        </w:trPr>
        <w:tc>
          <w:tcPr>
            <w:tcW w:w="1586" w:type="dxa"/>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免费技术咨询服务</w:t>
            </w: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400全国免费服务电话，提供咨询服务，包括系统使用的优化、系统故障的分析和常见问题解答等。</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400响应</w:t>
            </w:r>
          </w:p>
        </w:tc>
      </w:tr>
      <w:tr>
        <w:tblPrEx>
          <w:tblCellMar>
            <w:top w:w="0" w:type="dxa"/>
            <w:left w:w="108" w:type="dxa"/>
            <w:bottom w:w="0" w:type="dxa"/>
            <w:right w:w="108" w:type="dxa"/>
          </w:tblCellMar>
        </w:tblPrEx>
        <w:trPr>
          <w:trHeight w:val="454" w:hRule="atLeast"/>
          <w:jc w:val="center"/>
        </w:trPr>
        <w:tc>
          <w:tcPr>
            <w:tcW w:w="1586" w:type="dxa"/>
            <w:tcBorders>
              <w:top w:val="nil"/>
              <w:left w:val="single" w:color="000000" w:sz="4" w:space="0"/>
              <w:bottom w:val="single" w:color="auto"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线上远程服务</w:t>
            </w: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有条件进行远程，将通过QQ远程、400电话等远程工具对客户系统，对服务器、数据库、数据库备份和信息集成运行情况逐一作巡检，保证系统运行。</w:t>
            </w:r>
          </w:p>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提供数据库基本维护服务，定期检查表空间使用情况、数据文件存储情况，维持数据库稳定性。</w:t>
            </w:r>
          </w:p>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提供数据库优化服务，定期清理垃圾数据，对数据库运行参数进行优化。</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服务工程师提供</w:t>
            </w:r>
          </w:p>
        </w:tc>
      </w:tr>
      <w:tr>
        <w:tblPrEx>
          <w:tblCellMar>
            <w:top w:w="0" w:type="dxa"/>
            <w:left w:w="108" w:type="dxa"/>
            <w:bottom w:w="0" w:type="dxa"/>
            <w:right w:w="108" w:type="dxa"/>
          </w:tblCellMar>
        </w:tblPrEx>
        <w:trPr>
          <w:trHeight w:val="454" w:hRule="atLeast"/>
          <w:jc w:val="center"/>
        </w:trPr>
        <w:tc>
          <w:tcPr>
            <w:tcW w:w="1586" w:type="dxa"/>
            <w:vMerge w:val="restart"/>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培训服务</w:t>
            </w: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提供产品使用手册、常见问题手册、系统维护手册等维护性文档。</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提供</w:t>
            </w:r>
          </w:p>
        </w:tc>
      </w:tr>
      <w:tr>
        <w:tblPrEx>
          <w:tblCellMar>
            <w:top w:w="0" w:type="dxa"/>
            <w:left w:w="108" w:type="dxa"/>
            <w:bottom w:w="0" w:type="dxa"/>
            <w:right w:w="108" w:type="dxa"/>
          </w:tblCellMar>
        </w:tblPrEx>
        <w:trPr>
          <w:trHeight w:val="454" w:hRule="atLeast"/>
          <w:jc w:val="center"/>
        </w:trPr>
        <w:tc>
          <w:tcPr>
            <w:tcW w:w="1586" w:type="dxa"/>
            <w:vMerge w:val="continue"/>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培训信息科系统管理员，提供对产品原理、数据结构、程序设置、设备维护、常见故障处理等的详细说明。</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提供</w:t>
            </w:r>
          </w:p>
        </w:tc>
      </w:tr>
      <w:tr>
        <w:tblPrEx>
          <w:tblCellMar>
            <w:top w:w="0" w:type="dxa"/>
            <w:left w:w="108" w:type="dxa"/>
            <w:bottom w:w="0" w:type="dxa"/>
            <w:right w:w="108" w:type="dxa"/>
          </w:tblCellMar>
        </w:tblPrEx>
        <w:trPr>
          <w:trHeight w:val="454" w:hRule="atLeast"/>
          <w:jc w:val="center"/>
        </w:trPr>
        <w:tc>
          <w:tcPr>
            <w:tcW w:w="1586" w:type="dxa"/>
            <w:vMerge w:val="continue"/>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为应用科室提供培训，讲解系统操作方法、解答常见问题。培训时间根据科室安排。</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提供</w:t>
            </w:r>
          </w:p>
        </w:tc>
      </w:tr>
      <w:tr>
        <w:tblPrEx>
          <w:tblCellMar>
            <w:top w:w="0" w:type="dxa"/>
            <w:left w:w="108" w:type="dxa"/>
            <w:bottom w:w="0" w:type="dxa"/>
            <w:right w:w="108" w:type="dxa"/>
          </w:tblCellMar>
        </w:tblPrEx>
        <w:trPr>
          <w:trHeight w:val="454" w:hRule="atLeast"/>
          <w:jc w:val="center"/>
        </w:trPr>
        <w:tc>
          <w:tcPr>
            <w:tcW w:w="1586" w:type="dxa"/>
            <w:vMerge w:val="restart"/>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故障应急服务</w:t>
            </w: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400全国免费服务热线，提供每周7×24小时电话故障应急服务。随时提供技术支持，分析系统故障、解答疑难问题、提供改进建议。</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400响应</w:t>
            </w:r>
          </w:p>
        </w:tc>
      </w:tr>
      <w:tr>
        <w:tblPrEx>
          <w:tblCellMar>
            <w:top w:w="0" w:type="dxa"/>
            <w:left w:w="108" w:type="dxa"/>
            <w:bottom w:w="0" w:type="dxa"/>
            <w:right w:w="108" w:type="dxa"/>
          </w:tblCellMar>
        </w:tblPrEx>
        <w:trPr>
          <w:trHeight w:val="454" w:hRule="atLeast"/>
          <w:jc w:val="center"/>
        </w:trPr>
        <w:tc>
          <w:tcPr>
            <w:tcW w:w="1586" w:type="dxa"/>
            <w:vMerge w:val="continue"/>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提供备份恢复服务，为服务器、客户端、采集、打印机等建立应急备份机制，在发生通常故障时院方能快速应用备份策略，保证系统维持基本运转，直至系统恢复</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400响应</w:t>
            </w:r>
          </w:p>
        </w:tc>
      </w:tr>
      <w:tr>
        <w:tblPrEx>
          <w:tblCellMar>
            <w:top w:w="0" w:type="dxa"/>
            <w:left w:w="108" w:type="dxa"/>
            <w:bottom w:w="0" w:type="dxa"/>
            <w:right w:w="108" w:type="dxa"/>
          </w:tblCellMar>
        </w:tblPrEx>
        <w:trPr>
          <w:trHeight w:val="454" w:hRule="atLeast"/>
          <w:jc w:val="center"/>
        </w:trPr>
        <w:tc>
          <w:tcPr>
            <w:tcW w:w="1586" w:type="dxa"/>
            <w:vMerge w:val="continue"/>
            <w:tcBorders>
              <w:top w:val="nil"/>
              <w:left w:val="single" w:color="000000" w:sz="4" w:space="0"/>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p>
        </w:tc>
        <w:tc>
          <w:tcPr>
            <w:tcW w:w="6325" w:type="dxa"/>
            <w:tcBorders>
              <w:top w:val="single" w:color="000000" w:sz="4" w:space="0"/>
              <w:left w:val="nil"/>
              <w:bottom w:val="single" w:color="000000" w:sz="4" w:space="0"/>
              <w:right w:val="single" w:color="000000" w:sz="4" w:space="0"/>
            </w:tcBorders>
            <w:vAlign w:val="center"/>
          </w:tcPr>
          <w:p>
            <w:pPr>
              <w:pStyle w:val="10"/>
              <w:spacing w:line="360" w:lineRule="auto"/>
              <w:jc w:val="left"/>
              <w:rPr>
                <w:rFonts w:ascii="宋体" w:hAnsi="宋体" w:eastAsia="宋体" w:cs="宋体"/>
                <w:sz w:val="21"/>
                <w:szCs w:val="21"/>
              </w:rPr>
            </w:pPr>
            <w:r>
              <w:rPr>
                <w:rFonts w:hint="eastAsia" w:ascii="宋体" w:hAnsi="宋体" w:eastAsia="宋体" w:cs="宋体"/>
                <w:sz w:val="21"/>
                <w:szCs w:val="21"/>
              </w:rPr>
              <w:t>提供限时修复服务，当系统发生故障时，公司人员立即提供远程服务；对于远程无法解决的，将安排工程师到达现场维护。</w:t>
            </w:r>
          </w:p>
        </w:tc>
        <w:tc>
          <w:tcPr>
            <w:tcW w:w="1293" w:type="dxa"/>
            <w:tcBorders>
              <w:top w:val="single" w:color="000000" w:sz="4" w:space="0"/>
              <w:left w:val="nil"/>
              <w:bottom w:val="single" w:color="000000" w:sz="4" w:space="0"/>
              <w:right w:val="single" w:color="000000" w:sz="4" w:space="0"/>
            </w:tcBorders>
            <w:vAlign w:val="center"/>
          </w:tcPr>
          <w:p>
            <w:pPr>
              <w:pStyle w:val="10"/>
              <w:spacing w:line="360" w:lineRule="auto"/>
              <w:rPr>
                <w:rFonts w:ascii="宋体" w:hAnsi="宋体" w:eastAsia="宋体" w:cs="宋体"/>
                <w:sz w:val="21"/>
                <w:szCs w:val="21"/>
              </w:rPr>
            </w:pPr>
            <w:r>
              <w:rPr>
                <w:rFonts w:hint="eastAsia" w:ascii="宋体" w:hAnsi="宋体" w:eastAsia="宋体" w:cs="宋体"/>
                <w:sz w:val="21"/>
                <w:szCs w:val="21"/>
              </w:rPr>
              <w:t>400响应</w:t>
            </w:r>
          </w:p>
        </w:tc>
      </w:tr>
    </w:tbl>
    <w:p>
      <w:pPr>
        <w:rPr>
          <w:rFonts w:asciiTheme="minorEastAsia" w:hAnsiTheme="minorEastAsia" w:eastAsiaTheme="minorEastAsia"/>
          <w:b/>
          <w:bCs/>
          <w:szCs w:val="21"/>
        </w:rPr>
      </w:pPr>
    </w:p>
    <w:p>
      <w:pPr>
        <w:rPr>
          <w:rFonts w:asciiTheme="minorEastAsia" w:hAnsiTheme="minorEastAsia" w:eastAsiaTheme="minorEastAsia"/>
          <w:szCs w:val="21"/>
        </w:rPr>
      </w:pPr>
      <w:r>
        <w:rPr>
          <w:rFonts w:hint="eastAsia" w:asciiTheme="minorEastAsia" w:hAnsiTheme="minorEastAsia" w:eastAsiaTheme="minorEastAsia"/>
          <w:b/>
          <w:bCs/>
          <w:szCs w:val="21"/>
        </w:rPr>
        <w:t>五、服务要求：</w:t>
      </w:r>
    </w:p>
    <w:p>
      <w:pPr>
        <w:spacing w:line="360" w:lineRule="auto"/>
        <w:ind w:firstLine="420"/>
        <w:rPr>
          <w:rFonts w:ascii="宋体" w:hAnsi="宋体"/>
          <w:b/>
          <w:szCs w:val="21"/>
        </w:rPr>
      </w:pPr>
      <w:r>
        <w:rPr>
          <w:rFonts w:hint="eastAsia" w:ascii="宋体" w:hAnsi="宋体"/>
          <w:b/>
          <w:szCs w:val="21"/>
        </w:rPr>
        <w:t>1、服务方式：</w:t>
      </w:r>
    </w:p>
    <w:p>
      <w:pPr>
        <w:spacing w:line="360"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 供应商在维护期限内提供给医院的软件应用的支持和培训服务，包括软件400远程电话支持、用户培训、故障维护等，具体说明如下：</w:t>
      </w: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（1）400远程电话支持</w:t>
      </w:r>
      <w:r>
        <w:rPr>
          <w:rFonts w:hint="eastAsia" w:cs="宋体" w:asciiTheme="minorEastAsia" w:hAnsiTheme="minorEastAsia" w:eastAsiaTheme="minorEastAsia"/>
          <w:color w:val="000000"/>
          <w:szCs w:val="21"/>
        </w:rPr>
        <w:t>：全国客服热线：400电话7×24小时远程支持或软件技术问题解决与分发。</w:t>
      </w: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（2）故障维护：</w:t>
      </w:r>
      <w:r>
        <w:rPr>
          <w:rFonts w:hint="eastAsia" w:cs="宋体" w:asciiTheme="minorEastAsia" w:hAnsiTheme="minorEastAsia" w:eastAsiaTheme="minorEastAsia"/>
          <w:color w:val="000000"/>
          <w:szCs w:val="21"/>
        </w:rPr>
        <w:t>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（3）软件正确性维护：</w:t>
      </w:r>
      <w:r>
        <w:rPr>
          <w:rFonts w:hint="eastAsia" w:cs="宋体" w:asciiTheme="minorEastAsia" w:hAnsiTheme="minorEastAsia" w:eastAsiaTheme="minorEastAsia"/>
          <w:color w:val="000000"/>
          <w:szCs w:val="21"/>
        </w:rPr>
        <w:t>软件运行过程中新发现的软件错误，乙方负责维护并及时改进，同时向甲方提供软件维护说明。</w:t>
      </w: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（4）用户培训：</w:t>
      </w:r>
      <w:r>
        <w:rPr>
          <w:rFonts w:hint="eastAsia" w:cs="宋体" w:asciiTheme="minorEastAsia" w:hAnsiTheme="minorEastAsia" w:eastAsiaTheme="minorEastAsia"/>
          <w:color w:val="000000"/>
          <w:szCs w:val="21"/>
        </w:rPr>
        <w:t>乙方负责软件更改后造成软件操作变化的使用培训，培训对象为甲方的医生、护士、技术工程师、业务科室的关键用户。乙方同时向甲方提供新功能使用说明。</w:t>
      </w:r>
    </w:p>
    <w:p>
      <w:pPr>
        <w:spacing w:line="360" w:lineRule="auto"/>
        <w:ind w:firstLine="422" w:firstLineChars="200"/>
        <w:rPr>
          <w:rFonts w:asciiTheme="minorEastAsia" w:hAnsiTheme="minorEastAsia" w:eastAsiaTheme="minorEastAsia"/>
          <w:szCs w:val="21"/>
          <w:highlight w:val="yellow"/>
        </w:rPr>
      </w:pPr>
      <w:r>
        <w:rPr>
          <w:rFonts w:hint="eastAsia" w:cs="宋体" w:asciiTheme="minorEastAsia" w:hAnsiTheme="minorEastAsia" w:eastAsiaTheme="minorEastAsia"/>
          <w:b/>
          <w:bCs/>
          <w:color w:val="000000"/>
          <w:szCs w:val="21"/>
        </w:rPr>
        <w:t>（5）定时巡检：</w:t>
      </w:r>
      <w:r>
        <w:rPr>
          <w:rFonts w:hint="eastAsia" w:cs="宋体" w:asciiTheme="minorEastAsia" w:hAnsiTheme="minorEastAsia" w:eastAsiaTheme="minorEastAsia"/>
          <w:color w:val="000000"/>
          <w:szCs w:val="21"/>
        </w:rPr>
        <w:t>经甲方许可，一年</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次巡检:每个季度一次，提供</w:t>
      </w:r>
      <w:r>
        <w:rPr>
          <w:rFonts w:hint="eastAsia"/>
        </w:rPr>
        <w:t>四次巡检记录</w:t>
      </w:r>
      <w:r>
        <w:rPr>
          <w:rFonts w:hint="eastAsia" w:cs="宋体" w:asciiTheme="minorEastAsia" w:hAnsiTheme="minorEastAsia" w:eastAsiaTheme="minorEastAsia"/>
          <w:color w:val="000000"/>
          <w:szCs w:val="21"/>
        </w:rPr>
        <w:t>。巡检内容包括：系统日常运维、程序bug处理或修改、技术咨询、巡检服务等。系统运行情况的现场巡检服务，巡检完出具相应的巡检报告，并请相关科室签字确认</w:t>
      </w:r>
    </w:p>
    <w:p>
      <w:pPr>
        <w:spacing w:line="276" w:lineRule="auto"/>
        <w:ind w:firstLine="42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（7）技术升级</w:t>
      </w:r>
    </w:p>
    <w:p>
      <w:pPr>
        <w:spacing w:line="276"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在质保期内，如果中标人和制造商的产品版本或功能升级，投标人应及时通知采购人，如采购人有相应要求，中标人和制造商应对采购人购买的产品进行升级服务。</w:t>
      </w: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（8）需求的更新：</w:t>
      </w:r>
      <w:r>
        <w:rPr>
          <w:rFonts w:hint="eastAsia" w:cs="宋体" w:asciiTheme="minorEastAsia" w:hAnsiTheme="minorEastAsia" w:eastAsiaTheme="minorEastAsia"/>
          <w:color w:val="000000"/>
          <w:szCs w:val="21"/>
        </w:rPr>
        <w:t>由于国家卫生主管部门政策变化导致本合同范围内的软件系统功能中的表单内容或格式需变更，医院与乙方共同协商确认后，乙方及时完善到系统中。甲方在实际工作中产生的需要系统更新的版本内的相关功能，经甲乙双方友好协商后，共同签署附加实施合同，依据技术服务工作量免费或收取部分费用；超出功能范围的内容，经甲乙双方友好协商后，按工作量核算相应费用。</w:t>
      </w:r>
    </w:p>
    <w:p>
      <w:pPr>
        <w:spacing w:line="360" w:lineRule="auto"/>
        <w:ind w:firstLine="422"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（9）客户回应承诺：</w:t>
      </w:r>
      <w:r>
        <w:rPr>
          <w:rFonts w:hint="eastAsia" w:cs="宋体" w:asciiTheme="minorEastAsia" w:hAnsiTheme="minorEastAsia" w:eastAsiaTheme="minorEastAsia"/>
          <w:color w:val="000000"/>
          <w:szCs w:val="21"/>
        </w:rPr>
        <w:t>在维护期内，如软件系统故障，乙方需在接到通知后2小时内予以响应，共同协商解决方案。</w:t>
      </w:r>
    </w:p>
    <w:p>
      <w:pPr>
        <w:ind w:firstLine="420"/>
        <w:rPr>
          <w:rFonts w:cs="宋体"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（10）文档管理：</w:t>
      </w:r>
      <w:r>
        <w:rPr>
          <w:rFonts w:hint="eastAsia" w:cs="宋体" w:asciiTheme="minorEastAsia" w:hAnsiTheme="minorEastAsia" w:eastAsiaTheme="minorEastAsia"/>
          <w:color w:val="000000"/>
          <w:szCs w:val="21"/>
        </w:rPr>
        <w:t>提供和完善相关服务工作文档（软件更新的内容说明和常见问题的解决方法说明）。</w:t>
      </w:r>
    </w:p>
    <w:p>
      <w:pPr>
        <w:spacing w:line="276" w:lineRule="auto"/>
        <w:ind w:firstLine="42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（11）对接联络：</w:t>
      </w:r>
      <w:r>
        <w:rPr>
          <w:rFonts w:hint="eastAsia" w:asciiTheme="minorEastAsia" w:hAnsiTheme="minorEastAsia" w:eastAsiaTheme="minorEastAsia"/>
          <w:szCs w:val="21"/>
        </w:rPr>
        <w:t>中标人须指定专门联络人、项目经理、技术经理等负责温州医科大学附属第二医院随访</w:t>
      </w:r>
      <w:r>
        <w:rPr>
          <w:rFonts w:cs="宋体" w:asciiTheme="minorEastAsia" w:hAnsiTheme="minorEastAsia" w:eastAsiaTheme="minorEastAsia"/>
          <w:kern w:val="0"/>
          <w:szCs w:val="21"/>
        </w:rPr>
        <w:t>信息</w:t>
      </w:r>
      <w:r>
        <w:rPr>
          <w:rFonts w:hint="eastAsia" w:asciiTheme="minorEastAsia" w:hAnsiTheme="minorEastAsia" w:eastAsiaTheme="minorEastAsia"/>
          <w:szCs w:val="21"/>
        </w:rPr>
        <w:t>系统的技术咨询、系统维护的接洽工作；须对用户的维护人员提供培训，使其能对系统进行日常的维护保养及能对一般故障进行维修。</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项目的实施管理中，应明确具体的项目目标、工作内容、实施任务、实施注意事项；应拟定周密的项目实施计划进度；应明确项目实施人员、岗位职责；应落实应用培训方案（含培训计划和培训内容）。公司应提供一支专业、有丰富开发实施经验的技术团队保障项目的建设成功。项目经理应有多年成功实施类似案例的经验，且应保持稳定无变化，无特殊事由未经医院同意不得随意更换。</w:t>
      </w:r>
    </w:p>
    <w:p>
      <w:pPr>
        <w:spacing w:line="360" w:lineRule="auto"/>
        <w:ind w:firstLine="420"/>
        <w:rPr>
          <w:rFonts w:asciiTheme="minorEastAsia" w:hAnsiTheme="minorEastAsia" w:eastAsiaTheme="minorEastAsia"/>
          <w:b/>
          <w:szCs w:val="21"/>
        </w:rPr>
      </w:pPr>
      <w:r>
        <w:rPr>
          <w:rFonts w:hint="eastAsia" w:asciiTheme="minorEastAsia" w:hAnsiTheme="minorEastAsia" w:eastAsiaTheme="minorEastAsia"/>
          <w:b/>
          <w:szCs w:val="21"/>
        </w:rPr>
        <w:t>2、在服务期限内的服务范围</w:t>
      </w:r>
    </w:p>
    <w:p>
      <w:pPr>
        <w:numPr>
          <w:ilvl w:val="0"/>
          <w:numId w:val="2"/>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软件程序出错或因操作失误造成数据混乱，中标人负责调整数据及修改程序；</w:t>
      </w:r>
    </w:p>
    <w:p>
      <w:pPr>
        <w:numPr>
          <w:ilvl w:val="0"/>
          <w:numId w:val="2"/>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合理的、不影响软件业务流程、数据流程、核心模块和数据库结构的修改；</w:t>
      </w:r>
    </w:p>
    <w:p>
      <w:pPr>
        <w:numPr>
          <w:ilvl w:val="0"/>
          <w:numId w:val="2"/>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统计报表的数据核对，针对报表数据与实际不符或与其他报表不对应的情况，协助进行查对或讲解说明；</w:t>
      </w:r>
    </w:p>
    <w:p>
      <w:pPr>
        <w:numPr>
          <w:ilvl w:val="0"/>
          <w:numId w:val="2"/>
        </w:numPr>
        <w:spacing w:line="360" w:lineRule="auto"/>
        <w:rPr>
          <w:rFonts w:ascii="宋体" w:hAnsi="宋体"/>
        </w:rPr>
      </w:pPr>
      <w:r>
        <w:rPr>
          <w:rFonts w:hint="eastAsia" w:ascii="宋体" w:hAnsi="宋体"/>
        </w:rPr>
        <w:t>指导甲方查明系统各模</w:t>
      </w:r>
      <w:r>
        <w:rPr>
          <w:rFonts w:ascii="宋体" w:hAnsi="宋体"/>
        </w:rPr>
        <w:t>块</w:t>
      </w:r>
      <w:r>
        <w:rPr>
          <w:rFonts w:hint="eastAsia" w:ascii="宋体" w:hAnsi="宋体"/>
        </w:rPr>
        <w:t>系统不能运行的原因并解决问题；</w:t>
      </w:r>
    </w:p>
    <w:p>
      <w:pPr>
        <w:numPr>
          <w:ilvl w:val="0"/>
          <w:numId w:val="2"/>
        </w:numPr>
        <w:spacing w:line="360" w:lineRule="auto"/>
        <w:rPr>
          <w:rFonts w:hint="eastAsia" w:ascii="宋体" w:hAnsi="宋体"/>
        </w:rPr>
      </w:pPr>
      <w:r>
        <w:rPr>
          <w:rFonts w:hint="eastAsia" w:ascii="宋体" w:hAnsi="宋体"/>
        </w:rPr>
        <w:t>解决系统运行故障；</w:t>
      </w:r>
    </w:p>
    <w:p>
      <w:pPr>
        <w:pStyle w:val="11"/>
        <w:ind w:left="290" w:leftChars="138" w:firstLine="211" w:firstLineChars="100"/>
        <w:rPr>
          <w:rFonts w:ascii="宋体" w:hAnsi="宋体"/>
          <w:b/>
        </w:rPr>
      </w:pPr>
      <w:r>
        <w:rPr>
          <w:rFonts w:hint="eastAsia" w:ascii="宋体" w:hAnsi="宋体"/>
          <w:b/>
        </w:rPr>
        <w:t>3、完善不良事件RCA分析模块</w:t>
      </w:r>
    </w:p>
    <w:p>
      <w:pPr>
        <w:pStyle w:val="11"/>
        <w:ind w:left="289" w:firstLine="0" w:firstLineChars="0"/>
        <w:rPr>
          <w:rFonts w:ascii="宋体" w:hAnsi="宋体"/>
        </w:rPr>
      </w:pPr>
      <w:bookmarkStart w:id="0" w:name="_GoBack"/>
    </w:p>
    <w:bookmarkEnd w:id="0"/>
    <w:p>
      <w:pPr>
        <w:numPr>
          <w:ilvl w:val="0"/>
          <w:numId w:val="3"/>
        </w:numPr>
        <w:ind w:firstLine="420"/>
        <w:rPr>
          <w:b/>
          <w:bCs/>
        </w:rPr>
      </w:pPr>
      <w:r>
        <w:rPr>
          <w:rFonts w:hint="eastAsia"/>
          <w:b/>
          <w:bCs/>
        </w:rPr>
        <w:t>项目商务要求：</w:t>
      </w:r>
    </w:p>
    <w:p>
      <w:pPr>
        <w:numPr>
          <w:ilvl w:val="0"/>
          <w:numId w:val="4"/>
        </w:numPr>
      </w:pPr>
      <w:r>
        <w:rPr>
          <w:rFonts w:hint="eastAsia"/>
          <w:b/>
          <w:bCs/>
        </w:rPr>
        <w:t>报价要求</w:t>
      </w:r>
    </w:p>
    <w:p>
      <w:pPr>
        <w:spacing w:line="300" w:lineRule="auto"/>
        <w:ind w:firstLine="420" w:firstLineChars="200"/>
      </w:pPr>
      <w:r>
        <w:rPr>
          <w:rFonts w:hint="eastAsia"/>
        </w:rPr>
        <w:t>本次报价须为人民币报价，包含：产品价、运输费（含装卸费）、保险费、安装调试费、税费、培训费等货到采购人指定地点的所有费用。</w:t>
      </w:r>
    </w:p>
    <w:p>
      <w:pPr>
        <w:numPr>
          <w:ilvl w:val="0"/>
          <w:numId w:val="4"/>
        </w:numPr>
        <w:spacing w:line="300" w:lineRule="auto"/>
        <w:rPr>
          <w:b/>
          <w:bCs/>
        </w:rPr>
      </w:pPr>
      <w:r>
        <w:rPr>
          <w:rFonts w:hint="eastAsia"/>
          <w:b/>
          <w:bCs/>
        </w:rPr>
        <w:t>质量保证</w:t>
      </w:r>
    </w:p>
    <w:p>
      <w:pPr>
        <w:spacing w:line="300" w:lineRule="auto"/>
        <w:ind w:left="420"/>
        <w:rPr>
          <w:b/>
          <w:bCs/>
        </w:rPr>
      </w:pPr>
      <w:r>
        <w:rPr>
          <w:rFonts w:hint="eastAsia"/>
        </w:rPr>
        <w:t>投标人需在服务期限内提供及时有效的服务。</w:t>
      </w:r>
    </w:p>
    <w:p>
      <w:pPr>
        <w:ind w:firstLine="420"/>
      </w:pPr>
      <w:r>
        <w:rPr>
          <w:rFonts w:hint="eastAsia"/>
          <w:b/>
          <w:bCs/>
        </w:rPr>
        <w:t>七、邀请采购报名截止时间、地点</w:t>
      </w:r>
    </w:p>
    <w:p>
      <w:pPr>
        <w:spacing w:line="300" w:lineRule="auto"/>
        <w:ind w:firstLine="420" w:firstLineChars="200"/>
      </w:pPr>
      <w:r>
        <w:rPr>
          <w:rFonts w:hint="eastAsia"/>
        </w:rPr>
        <w:t>1、院内采购报名起止时间：2023年03月</w:t>
      </w:r>
      <w:r>
        <w:rPr>
          <w:rFonts w:hint="eastAsia"/>
          <w:lang w:val="en-US" w:eastAsia="zh-CN"/>
        </w:rPr>
        <w:t>28</w:t>
      </w:r>
      <w:r>
        <w:rPr>
          <w:rFonts w:hint="eastAsia"/>
        </w:rPr>
        <w:t>日起至2023年</w:t>
      </w:r>
      <w:r>
        <w:rPr>
          <w:rFonts w:hint="eastAsia"/>
          <w:lang w:val="en-US" w:eastAsia="zh-CN"/>
        </w:rPr>
        <w:t>04</w:t>
      </w:r>
      <w:r>
        <w:rPr>
          <w:rFonts w:hint="eastAsia"/>
        </w:rPr>
        <w:t>月</w:t>
      </w:r>
      <w:r>
        <w:rPr>
          <w:rFonts w:hint="eastAsia"/>
          <w:lang w:val="en-US" w:eastAsia="zh-CN"/>
        </w:rPr>
        <w:t>07</w:t>
      </w:r>
      <w:r>
        <w:rPr>
          <w:rFonts w:hint="eastAsia"/>
        </w:rPr>
        <w:t>日9时止。</w:t>
      </w:r>
    </w:p>
    <w:p>
      <w:pPr>
        <w:spacing w:line="300" w:lineRule="auto"/>
        <w:ind w:firstLine="420" w:firstLineChars="200"/>
      </w:pPr>
      <w:r>
        <w:rPr>
          <w:rFonts w:hint="eastAsia"/>
        </w:rPr>
        <w:t>2、院内采购地点：温州市龙湾区瑶溪镇曹龙路1111号温州医科大学附属第二医院龙湾院区行政楼北楼4楼（若有变动，另行通知）。</w:t>
      </w:r>
    </w:p>
    <w:p>
      <w:pPr>
        <w:ind w:firstLine="420"/>
      </w:pPr>
      <w:r>
        <w:rPr>
          <w:rFonts w:hint="eastAsia"/>
          <w:b/>
          <w:bCs/>
        </w:rPr>
        <w:t>八、采购评价方法</w:t>
      </w:r>
    </w:p>
    <w:p>
      <w:pPr>
        <w:spacing w:line="300" w:lineRule="auto"/>
        <w:ind w:firstLine="420" w:firstLineChars="200"/>
      </w:pPr>
      <w:r>
        <w:rPr>
          <w:rFonts w:hint="eastAsia"/>
        </w:rPr>
        <w:t>评价委员会由温州医科大学附属第二医院有关职能部门人员组成，对各报价单位提供的报价单和策划、设计、制作、公司实力进行综合评价后确定中标单位。然后由中标单位与采购方签订承制合同。</w:t>
      </w:r>
    </w:p>
    <w:p>
      <w:pPr>
        <w:spacing w:line="300" w:lineRule="auto"/>
        <w:ind w:firstLine="420" w:firstLineChars="200"/>
      </w:pPr>
      <w:r>
        <w:rPr>
          <w:rFonts w:hint="eastAsia"/>
        </w:rPr>
        <w:t>评价方法：本项目采用综合评分法，评价委员会将对报价人的投标报价、技术条款响应情况按得分高低推荐中标候选人。</w:t>
      </w:r>
    </w:p>
    <w:p>
      <w:pPr>
        <w:spacing w:line="300" w:lineRule="auto"/>
        <w:ind w:firstLine="420" w:firstLineChars="200"/>
      </w:pPr>
    </w:p>
    <w:p>
      <w:r>
        <w:rPr>
          <w:rFonts w:hint="eastAsia"/>
        </w:rPr>
        <w:t> 本院内采购说明书解释权归温州医科大学附属第二医院。</w:t>
      </w:r>
    </w:p>
    <w:p/>
    <w:p>
      <w:pPr>
        <w:ind w:left="4200"/>
      </w:pPr>
    </w:p>
    <w:p>
      <w:pPr>
        <w:ind w:left="4200"/>
      </w:pPr>
    </w:p>
    <w:p>
      <w:pPr>
        <w:ind w:firstLine="4410" w:firstLineChars="2100"/>
      </w:pPr>
      <w:r>
        <w:rPr>
          <w:rFonts w:hint="eastAsia"/>
        </w:rPr>
        <w:t>温州医科大学附属第二医院、育英儿童医院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B9C8E"/>
    <w:multiLevelType w:val="multilevel"/>
    <w:tmpl w:val="8DDB9C8E"/>
    <w:lvl w:ilvl="0" w:tentative="0">
      <w:start w:val="1"/>
      <w:numFmt w:val="decimal"/>
      <w:lvlText w:val="%1."/>
      <w:lvlJc w:val="left"/>
      <w:pPr>
        <w:ind w:left="289" w:hanging="425"/>
      </w:pPr>
      <w:rPr>
        <w:rFonts w:hint="default"/>
      </w:rPr>
    </w:lvl>
    <w:lvl w:ilvl="1" w:tentative="0">
      <w:start w:val="1"/>
      <w:numFmt w:val="decimal"/>
      <w:lvlText w:val="(%2)"/>
      <w:lvlJc w:val="left"/>
      <w:pPr>
        <w:tabs>
          <w:tab w:val="left" w:pos="704"/>
        </w:tabs>
        <w:ind w:left="704" w:hanging="420"/>
      </w:pPr>
      <w:rPr>
        <w:rFonts w:hint="default"/>
      </w:rPr>
    </w:lvl>
    <w:lvl w:ilvl="2" w:tentative="0">
      <w:start w:val="1"/>
      <w:numFmt w:val="decimalEnclosedCircleChinese"/>
      <w:lvlText w:val="%3"/>
      <w:lvlJc w:val="left"/>
      <w:pPr>
        <w:tabs>
          <w:tab w:val="left" w:pos="1124"/>
        </w:tabs>
        <w:ind w:left="1124" w:hanging="420"/>
      </w:pPr>
      <w:rPr>
        <w:rFonts w:hint="default"/>
      </w:rPr>
    </w:lvl>
    <w:lvl w:ilvl="3" w:tentative="0">
      <w:start w:val="1"/>
      <w:numFmt w:val="decimal"/>
      <w:lvlText w:val="%4)"/>
      <w:lvlJc w:val="left"/>
      <w:pPr>
        <w:tabs>
          <w:tab w:val="left" w:pos="1544"/>
        </w:tabs>
        <w:ind w:left="1544" w:hanging="420"/>
      </w:pPr>
      <w:rPr>
        <w:rFonts w:hint="default"/>
      </w:rPr>
    </w:lvl>
    <w:lvl w:ilvl="4" w:tentative="0">
      <w:start w:val="1"/>
      <w:numFmt w:val="lowerLetter"/>
      <w:lvlText w:val="%5."/>
      <w:lvlJc w:val="left"/>
      <w:pPr>
        <w:tabs>
          <w:tab w:val="left" w:pos="1964"/>
        </w:tabs>
        <w:ind w:left="1964" w:hanging="420"/>
      </w:pPr>
      <w:rPr>
        <w:rFonts w:hint="default"/>
      </w:rPr>
    </w:lvl>
    <w:lvl w:ilvl="5" w:tentative="0">
      <w:start w:val="1"/>
      <w:numFmt w:val="lowerLetter"/>
      <w:lvlText w:val="%6)"/>
      <w:lvlJc w:val="left"/>
      <w:pPr>
        <w:tabs>
          <w:tab w:val="left" w:pos="2384"/>
        </w:tabs>
        <w:ind w:left="2384" w:hanging="420"/>
      </w:pPr>
      <w:rPr>
        <w:rFonts w:hint="default"/>
      </w:rPr>
    </w:lvl>
    <w:lvl w:ilvl="6" w:tentative="0">
      <w:start w:val="1"/>
      <w:numFmt w:val="lowerRoman"/>
      <w:lvlText w:val="%7."/>
      <w:lvlJc w:val="left"/>
      <w:pPr>
        <w:tabs>
          <w:tab w:val="left" w:pos="2804"/>
        </w:tabs>
        <w:ind w:left="2804" w:hanging="420"/>
      </w:pPr>
      <w:rPr>
        <w:rFonts w:hint="default"/>
      </w:rPr>
    </w:lvl>
    <w:lvl w:ilvl="7" w:tentative="0">
      <w:start w:val="1"/>
      <w:numFmt w:val="lowerRoman"/>
      <w:lvlText w:val="%8)"/>
      <w:lvlJc w:val="left"/>
      <w:pPr>
        <w:tabs>
          <w:tab w:val="left" w:pos="3224"/>
        </w:tabs>
        <w:ind w:left="3224" w:hanging="420"/>
      </w:pPr>
      <w:rPr>
        <w:rFonts w:hint="default"/>
      </w:rPr>
    </w:lvl>
    <w:lvl w:ilvl="8" w:tentative="0">
      <w:start w:val="1"/>
      <w:numFmt w:val="lowerLetter"/>
      <w:lvlText w:val="%9."/>
      <w:lvlJc w:val="left"/>
      <w:pPr>
        <w:tabs>
          <w:tab w:val="left" w:pos="3644"/>
        </w:tabs>
        <w:ind w:left="3644" w:hanging="420"/>
      </w:pPr>
      <w:rPr>
        <w:rFonts w:hint="default"/>
      </w:rPr>
    </w:lvl>
  </w:abstractNum>
  <w:abstractNum w:abstractNumId="1">
    <w:nsid w:val="B9164057"/>
    <w:multiLevelType w:val="singleLevel"/>
    <w:tmpl w:val="B9164057"/>
    <w:lvl w:ilvl="0" w:tentative="0">
      <w:start w:val="1"/>
      <w:numFmt w:val="chineseCounting"/>
      <w:suff w:val="nothing"/>
      <w:lvlText w:val="（%1）"/>
      <w:lvlJc w:val="left"/>
      <w:pPr>
        <w:ind w:left="0" w:firstLine="420"/>
      </w:pPr>
      <w:rPr>
        <w:rFonts w:hint="eastAsia"/>
      </w:rPr>
    </w:lvl>
  </w:abstractNum>
  <w:abstractNum w:abstractNumId="2">
    <w:nsid w:val="E100F586"/>
    <w:multiLevelType w:val="singleLevel"/>
    <w:tmpl w:val="E100F586"/>
    <w:lvl w:ilvl="0" w:tentative="0">
      <w:start w:val="6"/>
      <w:numFmt w:val="chineseCounting"/>
      <w:suff w:val="nothing"/>
      <w:lvlText w:val="%1、"/>
      <w:lvlJc w:val="left"/>
      <w:rPr>
        <w:rFonts w:hint="eastAsia"/>
      </w:rPr>
    </w:lvl>
  </w:abstractNum>
  <w:abstractNum w:abstractNumId="3">
    <w:nsid w:val="E3FCB739"/>
    <w:multiLevelType w:val="singleLevel"/>
    <w:tmpl w:val="E3FCB73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3MDRhOWYxNjQ3OTcyMGUxZDFlNzg3MWRhZDlmMWIifQ=="/>
  </w:docVars>
  <w:rsids>
    <w:rsidRoot w:val="002635AD"/>
    <w:rsid w:val="001D0198"/>
    <w:rsid w:val="0020607D"/>
    <w:rsid w:val="00262C33"/>
    <w:rsid w:val="002635AD"/>
    <w:rsid w:val="002C5016"/>
    <w:rsid w:val="002E2E47"/>
    <w:rsid w:val="003D6FBD"/>
    <w:rsid w:val="003E7B9A"/>
    <w:rsid w:val="004023A4"/>
    <w:rsid w:val="0044209B"/>
    <w:rsid w:val="00456F37"/>
    <w:rsid w:val="00490435"/>
    <w:rsid w:val="00531C7C"/>
    <w:rsid w:val="00536A7D"/>
    <w:rsid w:val="00595739"/>
    <w:rsid w:val="00857567"/>
    <w:rsid w:val="00A474FF"/>
    <w:rsid w:val="00C637D2"/>
    <w:rsid w:val="00D810A8"/>
    <w:rsid w:val="00DD2052"/>
    <w:rsid w:val="00E808C0"/>
    <w:rsid w:val="292C5187"/>
    <w:rsid w:val="58772F34"/>
    <w:rsid w:val="60374D62"/>
    <w:rsid w:val="68254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paragraph" w:customStyle="1" w:styleId="10">
    <w:name w:val="表格"/>
    <w:qFormat/>
    <w:uiPriority w:val="0"/>
    <w:pPr>
      <w:jc w:val="center"/>
    </w:pPr>
    <w:rPr>
      <w:rFonts w:ascii="Times New Roman" w:hAnsi="Times New Roman" w:eastAsia="仿宋" w:cs="Times New Roman"/>
      <w:kern w:val="2"/>
      <w:sz w:val="24"/>
      <w:szCs w:val="22"/>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uiPriority w:val="99"/>
    <w:rPr>
      <w:rFonts w:ascii="Calibri" w:hAnsi="Calibri" w:eastAsia="宋体" w:cs="Times New Roman"/>
      <w:kern w:val="2"/>
      <w:sz w:val="18"/>
      <w:szCs w:val="18"/>
    </w:rPr>
  </w:style>
  <w:style w:type="character" w:customStyle="1" w:styleId="13">
    <w:name w:val="页眉 Char"/>
    <w:basedOn w:val="8"/>
    <w:link w:val="5"/>
    <w:semiHidden/>
    <w:uiPriority w:val="99"/>
    <w:rPr>
      <w:rFonts w:ascii="Calibri" w:hAnsi="Calibri" w:eastAsia="宋体" w:cs="Times New Roman"/>
      <w:kern w:val="2"/>
      <w:sz w:val="18"/>
      <w:szCs w:val="18"/>
    </w:rPr>
  </w:style>
  <w:style w:type="character" w:customStyle="1" w:styleId="14">
    <w:name w:val="页脚 Char"/>
    <w:basedOn w:val="8"/>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2485</Words>
  <Characters>2586</Characters>
  <Lines>19</Lines>
  <Paragraphs>5</Paragraphs>
  <TotalTime>4</TotalTime>
  <ScaleCrop>false</ScaleCrop>
  <LinksUpToDate>false</LinksUpToDate>
  <CharactersWithSpaces>2597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2023-03-27T02:50:00Z</dcterms:created>
  <dc:creator>NJW</dc:creator>
  <cp:lastModifiedBy>Özyy</cp:lastModifiedBy>
  <dcterms:modified xsi:type="dcterms:W3CDTF">2023-03-28T07:34:35Z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EF0C4FF5B93740CABBB198664306D74B</vt:lpwstr>
  </property>
</Properties>
</file>