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sz w:val="32"/>
          <w:szCs w:val="32"/>
          <w:lang w:val="en-US" w:eastAsia="zh-CN"/>
        </w:rPr>
        <w:t>鹿城院区杭州西奥电梯维保采购需求</w:t>
      </w:r>
    </w:p>
    <w:p>
      <w:pPr>
        <w:rPr>
          <w:rFonts w:hint="eastAsia"/>
          <w:lang w:val="en-US" w:eastAsia="zh-CN"/>
        </w:rPr>
      </w:pPr>
    </w:p>
    <w:p>
      <w:pPr>
        <w:rPr>
          <w:rFonts w:hint="eastAsia"/>
          <w:lang w:val="en-US" w:eastAsia="zh-CN"/>
        </w:rPr>
      </w:pPr>
      <w:r>
        <w:rPr>
          <w:rFonts w:hint="eastAsia"/>
          <w:lang w:val="en-US" w:eastAsia="zh-CN"/>
        </w:rPr>
        <w:t xml:space="preserve">限价： 20000元，维保期限：2年  </w:t>
      </w:r>
    </w:p>
    <w:p>
      <w:pPr>
        <w:rPr>
          <w:rFonts w:hint="eastAsia"/>
          <w:lang w:val="en-US" w:eastAsia="zh-CN"/>
        </w:rPr>
      </w:pPr>
    </w:p>
    <w:p>
      <w:pPr>
        <w:rPr>
          <w:rFonts w:hint="default"/>
          <w:lang w:val="en-US" w:eastAsia="zh-CN"/>
        </w:rPr>
      </w:pPr>
      <w:r>
        <w:rPr>
          <w:rFonts w:hint="default"/>
          <w:lang w:val="en-US" w:eastAsia="zh-CN"/>
        </w:rPr>
        <w:t>投标供应商应具备的资格要求</w:t>
      </w:r>
    </w:p>
    <w:p>
      <w:pPr>
        <w:rPr>
          <w:rFonts w:hint="default"/>
          <w:lang w:val="en-US" w:eastAsia="zh-CN"/>
        </w:rPr>
      </w:pPr>
    </w:p>
    <w:p>
      <w:pPr>
        <w:rPr>
          <w:rFonts w:hint="default"/>
          <w:lang w:val="en-US" w:eastAsia="zh-CN"/>
        </w:rPr>
      </w:pPr>
      <w:r>
        <w:rPr>
          <w:rFonts w:hint="default"/>
          <w:lang w:val="en-US" w:eastAsia="zh-CN"/>
        </w:rPr>
        <w:t>1、具有独立承担民事责任的能力，具有履行合同所必需的设备和专业技术能力，有依法缴纳税收和社会保障资金的良好记录，参加单位在前三年内，在经营活动中没有重大违法记录，法律、行政法规规定的其他条件；</w:t>
      </w:r>
    </w:p>
    <w:p>
      <w:pPr>
        <w:rPr>
          <w:rFonts w:hint="default"/>
          <w:lang w:val="en-US" w:eastAsia="zh-CN"/>
        </w:rPr>
      </w:pPr>
      <w:r>
        <w:rPr>
          <w:rFonts w:hint="eastAsia"/>
          <w:lang w:val="en-US" w:eastAsia="zh-CN"/>
        </w:rPr>
        <w:t>2</w:t>
      </w:r>
      <w:r>
        <w:rPr>
          <w:rFonts w:hint="default"/>
          <w:lang w:val="en-US" w:eastAsia="zh-CN"/>
        </w:rPr>
        <w:t>、具有特种设备安装维修许可乘客电梯、载货电梯B级资质；</w:t>
      </w:r>
    </w:p>
    <w:p>
      <w:pPr>
        <w:rPr>
          <w:rFonts w:hint="default"/>
          <w:lang w:val="en-US" w:eastAsia="zh-CN"/>
        </w:rPr>
      </w:pPr>
      <w:r>
        <w:rPr>
          <w:rFonts w:hint="eastAsia"/>
          <w:lang w:val="en-US" w:eastAsia="zh-CN"/>
        </w:rPr>
        <w:t>3</w:t>
      </w:r>
      <w:bookmarkStart w:id="0" w:name="_GoBack"/>
      <w:bookmarkEnd w:id="0"/>
      <w:r>
        <w:rPr>
          <w:rFonts w:hint="default"/>
          <w:lang w:val="en-US" w:eastAsia="zh-CN"/>
        </w:rPr>
        <w:t>、具有较强的本地化服务能力，具有完善的服务制度和良好的服务记录，能提供良好服务；</w:t>
      </w:r>
    </w:p>
    <w:p>
      <w:pPr>
        <w:rPr>
          <w:rFonts w:hint="default"/>
          <w:lang w:val="en-US" w:eastAsia="zh-CN"/>
        </w:rPr>
      </w:pPr>
    </w:p>
    <w:p>
      <w:pPr>
        <w:spacing w:line="360" w:lineRule="exact"/>
        <w:rPr>
          <w:rFonts w:ascii="宋体" w:hAnsi="宋体" w:cs="宋体"/>
          <w:b/>
          <w:kern w:val="0"/>
          <w:szCs w:val="21"/>
        </w:rPr>
      </w:pPr>
      <w:r>
        <w:rPr>
          <w:rFonts w:hint="eastAsia" w:ascii="宋体" w:hAnsi="宋体" w:cs="宋体"/>
          <w:b/>
          <w:kern w:val="0"/>
          <w:szCs w:val="21"/>
        </w:rPr>
        <w:t>第一条   电梯日常维护保养的服务内容和范围：</w:t>
      </w:r>
    </w:p>
    <w:p>
      <w:pPr>
        <w:spacing w:line="400" w:lineRule="exact"/>
        <w:rPr>
          <w:rFonts w:ascii="宋体" w:hAnsi="宋体" w:cs="宋体"/>
          <w:kern w:val="0"/>
          <w:szCs w:val="21"/>
        </w:rPr>
      </w:pPr>
      <w:r>
        <w:rPr>
          <w:rFonts w:hint="eastAsia" w:ascii="宋体" w:hAnsi="宋体"/>
          <w:szCs w:val="21"/>
        </w:rPr>
        <w:t>1.1</w:t>
      </w:r>
      <w:r>
        <w:rPr>
          <w:rFonts w:hint="eastAsia" w:ascii="宋体" w:hAnsi="宋体" w:cs="宋体"/>
          <w:kern w:val="0"/>
          <w:szCs w:val="21"/>
        </w:rPr>
        <w:t>日常维护保养项目（内容）和要求</w:t>
      </w:r>
    </w:p>
    <w:p>
      <w:pPr>
        <w:spacing w:line="400" w:lineRule="exact"/>
        <w:rPr>
          <w:rFonts w:ascii="宋体" w:hAnsi="宋体" w:cs="宋体"/>
          <w:kern w:val="0"/>
          <w:szCs w:val="21"/>
        </w:rPr>
      </w:pPr>
      <w:r>
        <w:rPr>
          <w:rFonts w:hint="eastAsia" w:ascii="宋体" w:hAnsi="宋体" w:cs="宋体"/>
          <w:kern w:val="0"/>
          <w:szCs w:val="21"/>
        </w:rPr>
        <w:t>乙方应当完成半月、季度、半年、年度保养项目，内容和要求按TSG T5002-2017《电梯维护保养规则》，并做好维护保养记录。</w:t>
      </w:r>
    </w:p>
    <w:p>
      <w:pPr>
        <w:spacing w:line="360" w:lineRule="exact"/>
        <w:rPr>
          <w:rFonts w:ascii="宋体" w:hAnsi="宋体" w:cs="宋体"/>
          <w:kern w:val="0"/>
          <w:szCs w:val="21"/>
        </w:rPr>
      </w:pPr>
      <w:r>
        <w:rPr>
          <w:rFonts w:hint="eastAsia" w:ascii="宋体" w:hAnsi="宋体"/>
          <w:szCs w:val="21"/>
        </w:rPr>
        <w:t>1.2</w:t>
      </w:r>
      <w:r>
        <w:rPr>
          <w:rFonts w:hint="eastAsia" w:ascii="宋体" w:hAnsi="宋体" w:cs="宋体"/>
          <w:kern w:val="0"/>
          <w:szCs w:val="21"/>
        </w:rPr>
        <w:t>日常维护保养时间</w:t>
      </w:r>
    </w:p>
    <w:p>
      <w:pPr>
        <w:spacing w:line="360" w:lineRule="exact"/>
        <w:rPr>
          <w:rFonts w:ascii="宋体" w:hAnsi="宋体" w:cs="宋体"/>
          <w:kern w:val="0"/>
          <w:szCs w:val="21"/>
        </w:rPr>
      </w:pPr>
      <w:r>
        <w:rPr>
          <w:rFonts w:hint="eastAsia" w:ascii="宋体" w:hAnsi="宋体" w:cs="宋体"/>
          <w:kern w:val="0"/>
          <w:szCs w:val="21"/>
        </w:rPr>
        <w:t>在非公休假日上午八时至下午五时内。</w:t>
      </w:r>
    </w:p>
    <w:p>
      <w:pPr>
        <w:spacing w:line="360" w:lineRule="exact"/>
        <w:rPr>
          <w:rFonts w:ascii="宋体" w:hAnsi="宋体" w:cs="ËÎÌå"/>
          <w:kern w:val="0"/>
          <w:szCs w:val="21"/>
        </w:rPr>
      </w:pPr>
      <w:r>
        <w:rPr>
          <w:rFonts w:hint="eastAsia" w:ascii="宋体" w:hAnsi="宋体"/>
          <w:szCs w:val="21"/>
        </w:rPr>
        <w:t>1.3召</w:t>
      </w:r>
      <w:r>
        <w:rPr>
          <w:rFonts w:hint="eastAsia" w:ascii="宋体" w:hAnsi="宋体" w:cs="ËÎÌå"/>
          <w:kern w:val="0"/>
          <w:szCs w:val="21"/>
        </w:rPr>
        <w:t>修</w:t>
      </w:r>
    </w:p>
    <w:p>
      <w:pPr>
        <w:spacing w:line="360" w:lineRule="exact"/>
        <w:rPr>
          <w:rFonts w:ascii="宋体" w:hAnsi="宋体"/>
          <w:szCs w:val="21"/>
        </w:rPr>
      </w:pPr>
      <w:r>
        <w:rPr>
          <w:rFonts w:hint="eastAsia" w:ascii="宋体" w:hAnsi="宋体"/>
          <w:szCs w:val="21"/>
        </w:rPr>
        <w:t>乙方提供电梯的日常召修、应急故障处理服务。</w:t>
      </w:r>
    </w:p>
    <w:p>
      <w:pPr>
        <w:spacing w:line="400" w:lineRule="exact"/>
        <w:rPr>
          <w:rFonts w:ascii="宋体" w:hAnsi="宋体" w:cs="宋体"/>
          <w:b/>
          <w:kern w:val="0"/>
          <w:szCs w:val="21"/>
        </w:rPr>
      </w:pPr>
      <w:r>
        <w:rPr>
          <w:rFonts w:hint="eastAsia" w:ascii="宋体" w:hAnsi="宋体" w:cs="宋体"/>
          <w:b/>
          <w:kern w:val="0"/>
          <w:szCs w:val="21"/>
        </w:rPr>
        <w:t>第二条  日常维护保养的电梯和费用明细</w:t>
      </w:r>
    </w:p>
    <w:p>
      <w:pPr>
        <w:spacing w:line="400" w:lineRule="exact"/>
        <w:rPr>
          <w:rFonts w:ascii="宋体" w:hAnsi="宋体" w:cs="宋体"/>
          <w:kern w:val="0"/>
          <w:szCs w:val="21"/>
        </w:rPr>
      </w:pPr>
      <w:r>
        <w:rPr>
          <w:rFonts w:hint="eastAsia" w:ascii="宋体" w:hAnsi="宋体" w:cs="宋体"/>
          <w:kern w:val="0"/>
          <w:szCs w:val="21"/>
        </w:rPr>
        <w:t>甲乙双方约定，由乙方为下表甲方使用、管理的电梯(包括扶梯/人行道)提供日常维护保养和急修服务。</w:t>
      </w:r>
    </w:p>
    <w:tbl>
      <w:tblPr>
        <w:tblStyle w:val="4"/>
        <w:tblW w:w="91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3"/>
        <w:gridCol w:w="1333"/>
        <w:gridCol w:w="1340"/>
        <w:gridCol w:w="1251"/>
        <w:gridCol w:w="706"/>
        <w:gridCol w:w="1192"/>
        <w:gridCol w:w="660"/>
        <w:gridCol w:w="16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1043" w:type="dxa"/>
            <w:vAlign w:val="center"/>
          </w:tcPr>
          <w:p>
            <w:pPr>
              <w:tabs>
                <w:tab w:val="left" w:pos="2880"/>
              </w:tabs>
              <w:spacing w:line="360" w:lineRule="auto"/>
              <w:jc w:val="center"/>
              <w:rPr>
                <w:rFonts w:ascii="宋体" w:hAnsi="宋体"/>
                <w:szCs w:val="21"/>
              </w:rPr>
            </w:pPr>
            <w:r>
              <w:rPr>
                <w:rFonts w:hint="eastAsia" w:ascii="宋体" w:hAnsi="宋体"/>
                <w:szCs w:val="21"/>
              </w:rPr>
              <w:t>梯号</w:t>
            </w:r>
          </w:p>
          <w:p>
            <w:pPr>
              <w:tabs>
                <w:tab w:val="left" w:pos="2880"/>
              </w:tabs>
              <w:spacing w:line="360" w:lineRule="auto"/>
              <w:jc w:val="center"/>
              <w:rPr>
                <w:rFonts w:ascii="宋体" w:hAnsi="宋体"/>
                <w:szCs w:val="21"/>
              </w:rPr>
            </w:pPr>
            <w:r>
              <w:rPr>
                <w:rFonts w:hint="eastAsia" w:ascii="宋体" w:hAnsi="宋体"/>
                <w:szCs w:val="21"/>
              </w:rPr>
              <w:t>（甲方）</w:t>
            </w:r>
          </w:p>
        </w:tc>
        <w:tc>
          <w:tcPr>
            <w:tcW w:w="1333" w:type="dxa"/>
            <w:vAlign w:val="center"/>
          </w:tcPr>
          <w:p>
            <w:pPr>
              <w:tabs>
                <w:tab w:val="left" w:pos="2880"/>
              </w:tabs>
              <w:spacing w:line="360" w:lineRule="auto"/>
              <w:jc w:val="center"/>
              <w:rPr>
                <w:rFonts w:ascii="宋体" w:hAnsi="宋体"/>
                <w:szCs w:val="21"/>
              </w:rPr>
            </w:pPr>
            <w:r>
              <w:rPr>
                <w:rFonts w:hint="eastAsia" w:ascii="宋体" w:hAnsi="宋体"/>
                <w:szCs w:val="21"/>
              </w:rPr>
              <w:t>新设备合同号</w:t>
            </w:r>
          </w:p>
          <w:p>
            <w:pPr>
              <w:tabs>
                <w:tab w:val="left" w:pos="2880"/>
              </w:tabs>
              <w:spacing w:line="360" w:lineRule="auto"/>
              <w:jc w:val="center"/>
              <w:rPr>
                <w:rFonts w:ascii="宋体" w:hAnsi="宋体"/>
                <w:szCs w:val="21"/>
              </w:rPr>
            </w:pPr>
          </w:p>
        </w:tc>
        <w:tc>
          <w:tcPr>
            <w:tcW w:w="1340" w:type="dxa"/>
            <w:vAlign w:val="center"/>
          </w:tcPr>
          <w:p>
            <w:pPr>
              <w:tabs>
                <w:tab w:val="left" w:pos="2880"/>
              </w:tabs>
              <w:spacing w:line="360" w:lineRule="auto"/>
              <w:jc w:val="center"/>
              <w:rPr>
                <w:rFonts w:ascii="宋体" w:hAnsi="宋体"/>
                <w:szCs w:val="21"/>
              </w:rPr>
            </w:pPr>
            <w:r>
              <w:rPr>
                <w:rFonts w:hint="eastAsia" w:ascii="宋体" w:hAnsi="宋体"/>
                <w:szCs w:val="21"/>
              </w:rPr>
              <w:t>梯型</w:t>
            </w:r>
          </w:p>
        </w:tc>
        <w:tc>
          <w:tcPr>
            <w:tcW w:w="1251" w:type="dxa"/>
            <w:vAlign w:val="center"/>
          </w:tcPr>
          <w:p>
            <w:pPr>
              <w:tabs>
                <w:tab w:val="left" w:pos="2880"/>
              </w:tabs>
              <w:spacing w:line="360" w:lineRule="auto"/>
              <w:jc w:val="center"/>
              <w:rPr>
                <w:rFonts w:ascii="宋体" w:hAnsi="宋体"/>
                <w:szCs w:val="21"/>
              </w:rPr>
            </w:pPr>
            <w:r>
              <w:rPr>
                <w:rFonts w:hint="eastAsia" w:ascii="宋体" w:hAnsi="宋体"/>
                <w:szCs w:val="21"/>
              </w:rPr>
              <w:t>层</w:t>
            </w:r>
            <w:r>
              <w:rPr>
                <w:rFonts w:ascii="宋体" w:hAnsi="宋体"/>
                <w:szCs w:val="21"/>
              </w:rPr>
              <w:t>/</w:t>
            </w:r>
            <w:r>
              <w:rPr>
                <w:rFonts w:hint="eastAsia" w:ascii="宋体" w:hAnsi="宋体"/>
                <w:szCs w:val="21"/>
              </w:rPr>
              <w:t>站</w:t>
            </w:r>
          </w:p>
          <w:p>
            <w:pPr>
              <w:tabs>
                <w:tab w:val="left" w:pos="2880"/>
              </w:tabs>
              <w:spacing w:line="360" w:lineRule="auto"/>
              <w:jc w:val="center"/>
              <w:rPr>
                <w:rFonts w:ascii="宋体" w:hAnsi="宋体"/>
                <w:szCs w:val="21"/>
              </w:rPr>
            </w:pPr>
            <w:r>
              <w:rPr>
                <w:rFonts w:hint="eastAsia" w:ascii="宋体" w:hAnsi="宋体"/>
                <w:szCs w:val="21"/>
              </w:rPr>
              <w:t>提升高度M</w:t>
            </w:r>
          </w:p>
        </w:tc>
        <w:tc>
          <w:tcPr>
            <w:tcW w:w="706" w:type="dxa"/>
            <w:vAlign w:val="center"/>
          </w:tcPr>
          <w:p>
            <w:pPr>
              <w:tabs>
                <w:tab w:val="left" w:pos="2880"/>
              </w:tabs>
              <w:spacing w:line="360" w:lineRule="auto"/>
              <w:jc w:val="center"/>
              <w:rPr>
                <w:rFonts w:ascii="宋体" w:hAnsi="宋体"/>
                <w:szCs w:val="21"/>
              </w:rPr>
            </w:pPr>
            <w:r>
              <w:rPr>
                <w:rFonts w:hint="eastAsia" w:ascii="宋体" w:hAnsi="宋体"/>
                <w:szCs w:val="21"/>
              </w:rPr>
              <w:t>载重</w:t>
            </w:r>
          </w:p>
          <w:p>
            <w:pPr>
              <w:tabs>
                <w:tab w:val="left" w:pos="2880"/>
              </w:tabs>
              <w:spacing w:line="360" w:lineRule="auto"/>
              <w:jc w:val="center"/>
              <w:rPr>
                <w:rFonts w:ascii="宋体" w:hAnsi="宋体"/>
                <w:szCs w:val="21"/>
              </w:rPr>
            </w:pPr>
            <w:r>
              <w:rPr>
                <w:rFonts w:hint="eastAsia" w:ascii="宋体" w:hAnsi="宋体"/>
                <w:szCs w:val="21"/>
              </w:rPr>
              <w:t>Kg</w:t>
            </w:r>
          </w:p>
        </w:tc>
        <w:tc>
          <w:tcPr>
            <w:tcW w:w="1192" w:type="dxa"/>
            <w:vAlign w:val="center"/>
          </w:tcPr>
          <w:p>
            <w:pPr>
              <w:tabs>
                <w:tab w:val="left" w:pos="2880"/>
              </w:tabs>
              <w:spacing w:line="360" w:lineRule="auto"/>
              <w:jc w:val="center"/>
              <w:rPr>
                <w:rFonts w:ascii="宋体" w:hAnsi="宋体"/>
                <w:szCs w:val="21"/>
              </w:rPr>
            </w:pPr>
            <w:r>
              <w:rPr>
                <w:rFonts w:hint="eastAsia" w:ascii="宋体" w:hAnsi="宋体"/>
                <w:szCs w:val="21"/>
              </w:rPr>
              <w:t>速度M/S</w:t>
            </w:r>
          </w:p>
        </w:tc>
        <w:tc>
          <w:tcPr>
            <w:tcW w:w="660" w:type="dxa"/>
            <w:vAlign w:val="center"/>
          </w:tcPr>
          <w:p>
            <w:pPr>
              <w:tabs>
                <w:tab w:val="left" w:pos="2880"/>
              </w:tabs>
              <w:spacing w:line="360" w:lineRule="auto"/>
              <w:jc w:val="center"/>
              <w:rPr>
                <w:rFonts w:ascii="宋体" w:hAnsi="宋体"/>
                <w:szCs w:val="21"/>
              </w:rPr>
            </w:pPr>
            <w:r>
              <w:rPr>
                <w:rFonts w:hint="eastAsia" w:ascii="宋体" w:hAnsi="宋体"/>
                <w:szCs w:val="21"/>
              </w:rPr>
              <w:t>台数</w:t>
            </w:r>
          </w:p>
        </w:tc>
        <w:tc>
          <w:tcPr>
            <w:tcW w:w="1630" w:type="dxa"/>
            <w:vAlign w:val="center"/>
          </w:tcPr>
          <w:p>
            <w:pPr>
              <w:tabs>
                <w:tab w:val="left" w:pos="2880"/>
              </w:tabs>
              <w:spacing w:line="360" w:lineRule="auto"/>
              <w:jc w:val="center"/>
              <w:rPr>
                <w:rFonts w:ascii="宋体" w:hAnsi="宋体"/>
                <w:szCs w:val="21"/>
              </w:rPr>
            </w:pPr>
            <w:r>
              <w:rPr>
                <w:rFonts w:hint="eastAsia" w:ascii="宋体" w:hAnsi="宋体"/>
                <w:szCs w:val="21"/>
              </w:rPr>
              <w:t>保养费</w:t>
            </w:r>
          </w:p>
          <w:p>
            <w:pPr>
              <w:tabs>
                <w:tab w:val="left" w:pos="2880"/>
              </w:tabs>
              <w:spacing w:line="360" w:lineRule="auto"/>
              <w:jc w:val="center"/>
              <w:rPr>
                <w:rFonts w:ascii="宋体" w:hAnsi="宋体"/>
                <w:szCs w:val="21"/>
              </w:rPr>
            </w:pPr>
            <w:r>
              <w:rPr>
                <w:rFonts w:hint="eastAsia" w:ascii="宋体" w:hAnsi="宋体"/>
                <w:szCs w:val="21"/>
              </w:rPr>
              <w:t>小计（</w:t>
            </w:r>
            <w:r>
              <w:rPr>
                <w:rFonts w:hint="eastAsia" w:ascii="宋体" w:hAnsi="宋体"/>
                <w:szCs w:val="21"/>
                <w:lang w:val="en-US" w:eastAsia="zh-CN"/>
              </w:rPr>
              <w:t>元/2年</w:t>
            </w:r>
            <w:r>
              <w:rPr>
                <w:rFonts w:hint="eastAsia" w:ascii="宋体" w:hAnsi="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043" w:type="dxa"/>
            <w:vAlign w:val="center"/>
          </w:tcPr>
          <w:p>
            <w:pPr>
              <w:tabs>
                <w:tab w:val="left" w:pos="2880"/>
              </w:tabs>
              <w:spacing w:line="360" w:lineRule="auto"/>
              <w:jc w:val="center"/>
              <w:rPr>
                <w:rFonts w:ascii="宋体" w:hAnsi="宋体"/>
                <w:szCs w:val="21"/>
              </w:rPr>
            </w:pPr>
          </w:p>
        </w:tc>
        <w:tc>
          <w:tcPr>
            <w:tcW w:w="1333" w:type="dxa"/>
            <w:vAlign w:val="center"/>
          </w:tcPr>
          <w:p>
            <w:pPr>
              <w:tabs>
                <w:tab w:val="left" w:pos="2880"/>
              </w:tabs>
              <w:spacing w:line="360" w:lineRule="auto"/>
              <w:jc w:val="center"/>
              <w:rPr>
                <w:rFonts w:ascii="宋体" w:hAnsi="宋体"/>
                <w:szCs w:val="21"/>
              </w:rPr>
            </w:pPr>
            <w:r>
              <w:rPr>
                <w:rFonts w:ascii="宋体" w:hAnsi="宋体"/>
                <w:szCs w:val="21"/>
              </w:rPr>
              <w:t>XODTB92450</w:t>
            </w:r>
          </w:p>
        </w:tc>
        <w:tc>
          <w:tcPr>
            <w:tcW w:w="1340" w:type="dxa"/>
            <w:vAlign w:val="center"/>
          </w:tcPr>
          <w:p>
            <w:pPr>
              <w:tabs>
                <w:tab w:val="left" w:pos="2880"/>
              </w:tabs>
              <w:spacing w:line="360" w:lineRule="auto"/>
              <w:jc w:val="center"/>
              <w:rPr>
                <w:rFonts w:ascii="宋体" w:hAnsi="宋体"/>
                <w:szCs w:val="21"/>
              </w:rPr>
            </w:pPr>
            <w:r>
              <w:rPr>
                <w:rFonts w:ascii="宋体" w:hAnsi="宋体"/>
                <w:szCs w:val="21"/>
              </w:rPr>
              <w:t>XO-CONIII</w:t>
            </w:r>
          </w:p>
        </w:tc>
        <w:tc>
          <w:tcPr>
            <w:tcW w:w="1251" w:type="dxa"/>
            <w:vAlign w:val="center"/>
          </w:tcPr>
          <w:p>
            <w:pPr>
              <w:tabs>
                <w:tab w:val="left" w:pos="2880"/>
              </w:tabs>
              <w:spacing w:line="360" w:lineRule="auto"/>
              <w:jc w:val="center"/>
              <w:rPr>
                <w:rFonts w:ascii="宋体" w:hAnsi="宋体"/>
                <w:szCs w:val="21"/>
              </w:rPr>
            </w:pPr>
            <w:r>
              <w:rPr>
                <w:rFonts w:hint="eastAsia" w:ascii="宋体" w:hAnsi="宋体"/>
                <w:szCs w:val="21"/>
              </w:rPr>
              <w:t>10/10/10</w:t>
            </w:r>
          </w:p>
        </w:tc>
        <w:tc>
          <w:tcPr>
            <w:tcW w:w="706" w:type="dxa"/>
            <w:vAlign w:val="center"/>
          </w:tcPr>
          <w:p>
            <w:pPr>
              <w:tabs>
                <w:tab w:val="left" w:pos="2880"/>
              </w:tabs>
              <w:spacing w:line="360" w:lineRule="auto"/>
              <w:jc w:val="center"/>
              <w:rPr>
                <w:rFonts w:ascii="宋体" w:hAnsi="宋体"/>
                <w:szCs w:val="21"/>
              </w:rPr>
            </w:pPr>
            <w:r>
              <w:rPr>
                <w:rFonts w:hint="eastAsia" w:ascii="宋体" w:hAnsi="宋体"/>
                <w:szCs w:val="21"/>
              </w:rPr>
              <w:t>1000</w:t>
            </w:r>
          </w:p>
        </w:tc>
        <w:tc>
          <w:tcPr>
            <w:tcW w:w="1192" w:type="dxa"/>
            <w:vAlign w:val="center"/>
          </w:tcPr>
          <w:p>
            <w:pPr>
              <w:tabs>
                <w:tab w:val="left" w:pos="2880"/>
              </w:tabs>
              <w:spacing w:line="360" w:lineRule="auto"/>
              <w:jc w:val="center"/>
              <w:rPr>
                <w:rFonts w:ascii="宋体" w:hAnsi="宋体"/>
                <w:szCs w:val="21"/>
              </w:rPr>
            </w:pPr>
            <w:r>
              <w:rPr>
                <w:rFonts w:hint="eastAsia" w:ascii="宋体" w:hAnsi="宋体"/>
                <w:szCs w:val="21"/>
              </w:rPr>
              <w:t>1.75</w:t>
            </w:r>
          </w:p>
        </w:tc>
        <w:tc>
          <w:tcPr>
            <w:tcW w:w="660" w:type="dxa"/>
            <w:vAlign w:val="center"/>
          </w:tcPr>
          <w:p>
            <w:pPr>
              <w:tabs>
                <w:tab w:val="left" w:pos="2880"/>
              </w:tabs>
              <w:spacing w:line="360" w:lineRule="auto"/>
              <w:jc w:val="center"/>
              <w:rPr>
                <w:rFonts w:ascii="宋体" w:hAnsi="宋体"/>
                <w:szCs w:val="21"/>
              </w:rPr>
            </w:pPr>
            <w:r>
              <w:rPr>
                <w:rFonts w:hint="eastAsia" w:ascii="宋体" w:hAnsi="宋体"/>
                <w:szCs w:val="21"/>
              </w:rPr>
              <w:t>1</w:t>
            </w:r>
          </w:p>
        </w:tc>
        <w:tc>
          <w:tcPr>
            <w:tcW w:w="1630" w:type="dxa"/>
            <w:vAlign w:val="center"/>
          </w:tcPr>
          <w:p>
            <w:pPr>
              <w:tabs>
                <w:tab w:val="left" w:pos="2880"/>
              </w:tabs>
              <w:spacing w:line="360" w:lineRule="auto"/>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43" w:type="dxa"/>
            <w:vAlign w:val="center"/>
          </w:tcPr>
          <w:p>
            <w:pPr>
              <w:tabs>
                <w:tab w:val="left" w:pos="2880"/>
              </w:tabs>
              <w:spacing w:line="360" w:lineRule="auto"/>
              <w:jc w:val="center"/>
              <w:rPr>
                <w:rFonts w:ascii="宋体" w:hAnsi="宋体"/>
                <w:szCs w:val="21"/>
              </w:rPr>
            </w:pPr>
          </w:p>
        </w:tc>
        <w:tc>
          <w:tcPr>
            <w:tcW w:w="1333" w:type="dxa"/>
            <w:vAlign w:val="center"/>
          </w:tcPr>
          <w:p>
            <w:pPr>
              <w:tabs>
                <w:tab w:val="left" w:pos="2880"/>
              </w:tabs>
              <w:spacing w:line="360" w:lineRule="auto"/>
              <w:jc w:val="center"/>
              <w:rPr>
                <w:rFonts w:ascii="宋体" w:hAnsi="宋体"/>
                <w:szCs w:val="21"/>
              </w:rPr>
            </w:pPr>
            <w:r>
              <w:rPr>
                <w:rFonts w:ascii="宋体" w:hAnsi="宋体"/>
                <w:szCs w:val="21"/>
              </w:rPr>
              <w:t>XODTB92451</w:t>
            </w:r>
          </w:p>
        </w:tc>
        <w:tc>
          <w:tcPr>
            <w:tcW w:w="1340" w:type="dxa"/>
            <w:vAlign w:val="center"/>
          </w:tcPr>
          <w:p>
            <w:pPr>
              <w:tabs>
                <w:tab w:val="left" w:pos="2880"/>
              </w:tabs>
              <w:spacing w:line="360" w:lineRule="auto"/>
              <w:jc w:val="center"/>
              <w:rPr>
                <w:rFonts w:ascii="宋体" w:hAnsi="宋体"/>
                <w:szCs w:val="21"/>
              </w:rPr>
            </w:pPr>
            <w:r>
              <w:rPr>
                <w:rFonts w:ascii="宋体" w:hAnsi="宋体"/>
                <w:szCs w:val="21"/>
              </w:rPr>
              <w:t>XO-CONIII</w:t>
            </w:r>
          </w:p>
        </w:tc>
        <w:tc>
          <w:tcPr>
            <w:tcW w:w="1251" w:type="dxa"/>
            <w:vAlign w:val="center"/>
          </w:tcPr>
          <w:p>
            <w:pPr>
              <w:tabs>
                <w:tab w:val="left" w:pos="2880"/>
              </w:tabs>
              <w:spacing w:line="360" w:lineRule="auto"/>
              <w:jc w:val="center"/>
              <w:rPr>
                <w:rFonts w:ascii="宋体" w:hAnsi="宋体"/>
                <w:szCs w:val="21"/>
              </w:rPr>
            </w:pPr>
            <w:r>
              <w:rPr>
                <w:rFonts w:hint="eastAsia" w:ascii="宋体" w:hAnsi="宋体"/>
                <w:szCs w:val="21"/>
              </w:rPr>
              <w:t>9/9/9</w:t>
            </w:r>
          </w:p>
        </w:tc>
        <w:tc>
          <w:tcPr>
            <w:tcW w:w="706" w:type="dxa"/>
            <w:vAlign w:val="center"/>
          </w:tcPr>
          <w:p>
            <w:pPr>
              <w:tabs>
                <w:tab w:val="left" w:pos="2880"/>
              </w:tabs>
              <w:spacing w:line="360" w:lineRule="auto"/>
              <w:jc w:val="center"/>
              <w:rPr>
                <w:rFonts w:ascii="宋体" w:hAnsi="宋体"/>
                <w:szCs w:val="21"/>
              </w:rPr>
            </w:pPr>
            <w:r>
              <w:rPr>
                <w:rFonts w:hint="eastAsia" w:ascii="宋体" w:hAnsi="宋体"/>
                <w:szCs w:val="21"/>
              </w:rPr>
              <w:t>1000</w:t>
            </w:r>
          </w:p>
        </w:tc>
        <w:tc>
          <w:tcPr>
            <w:tcW w:w="1192" w:type="dxa"/>
            <w:vAlign w:val="center"/>
          </w:tcPr>
          <w:p>
            <w:pPr>
              <w:tabs>
                <w:tab w:val="left" w:pos="2880"/>
              </w:tabs>
              <w:spacing w:line="360" w:lineRule="auto"/>
              <w:jc w:val="center"/>
              <w:rPr>
                <w:rFonts w:ascii="宋体" w:hAnsi="宋体"/>
                <w:szCs w:val="21"/>
              </w:rPr>
            </w:pPr>
            <w:r>
              <w:rPr>
                <w:rFonts w:hint="eastAsia" w:ascii="宋体" w:hAnsi="宋体"/>
                <w:szCs w:val="21"/>
              </w:rPr>
              <w:t>1.75</w:t>
            </w:r>
          </w:p>
        </w:tc>
        <w:tc>
          <w:tcPr>
            <w:tcW w:w="660" w:type="dxa"/>
            <w:vAlign w:val="center"/>
          </w:tcPr>
          <w:p>
            <w:pPr>
              <w:tabs>
                <w:tab w:val="left" w:pos="2880"/>
              </w:tabs>
              <w:spacing w:line="360" w:lineRule="auto"/>
              <w:jc w:val="center"/>
              <w:rPr>
                <w:rFonts w:ascii="宋体" w:hAnsi="宋体"/>
                <w:szCs w:val="21"/>
              </w:rPr>
            </w:pPr>
            <w:r>
              <w:rPr>
                <w:rFonts w:hint="eastAsia" w:ascii="宋体" w:hAnsi="宋体"/>
                <w:szCs w:val="21"/>
              </w:rPr>
              <w:t>1</w:t>
            </w:r>
          </w:p>
        </w:tc>
        <w:tc>
          <w:tcPr>
            <w:tcW w:w="1630" w:type="dxa"/>
            <w:vAlign w:val="center"/>
          </w:tcPr>
          <w:p>
            <w:pPr>
              <w:tabs>
                <w:tab w:val="left" w:pos="2880"/>
              </w:tabs>
              <w:spacing w:line="360" w:lineRule="auto"/>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865" w:type="dxa"/>
            <w:gridSpan w:val="6"/>
            <w:vAlign w:val="center"/>
          </w:tcPr>
          <w:p>
            <w:pPr>
              <w:tabs>
                <w:tab w:val="left" w:pos="2880"/>
              </w:tabs>
              <w:spacing w:line="360" w:lineRule="auto"/>
              <w:jc w:val="right"/>
              <w:rPr>
                <w:rFonts w:ascii="宋体" w:hAnsi="宋体"/>
                <w:szCs w:val="21"/>
              </w:rPr>
            </w:pPr>
            <w:r>
              <w:rPr>
                <w:rFonts w:hint="eastAsia" w:ascii="宋体" w:hAnsi="宋体"/>
                <w:szCs w:val="21"/>
              </w:rPr>
              <w:t>台量及费用合计</w:t>
            </w:r>
          </w:p>
        </w:tc>
        <w:tc>
          <w:tcPr>
            <w:tcW w:w="660" w:type="dxa"/>
            <w:vAlign w:val="center"/>
          </w:tcPr>
          <w:p>
            <w:pPr>
              <w:tabs>
                <w:tab w:val="left" w:pos="2880"/>
              </w:tabs>
              <w:spacing w:line="360" w:lineRule="auto"/>
              <w:jc w:val="center"/>
              <w:rPr>
                <w:rFonts w:hint="eastAsia" w:ascii="宋体" w:hAnsi="宋体" w:eastAsiaTheme="minorEastAsia"/>
                <w:szCs w:val="21"/>
                <w:lang w:eastAsia="zh-CN"/>
              </w:rPr>
            </w:pPr>
            <w:r>
              <w:rPr>
                <w:rFonts w:hint="eastAsia" w:ascii="宋体" w:hAnsi="宋体"/>
                <w:szCs w:val="21"/>
                <w:lang w:val="en-US" w:eastAsia="zh-CN"/>
              </w:rPr>
              <w:t>2</w:t>
            </w:r>
          </w:p>
        </w:tc>
        <w:tc>
          <w:tcPr>
            <w:tcW w:w="1630" w:type="dxa"/>
            <w:vAlign w:val="center"/>
          </w:tcPr>
          <w:p>
            <w:pPr>
              <w:tabs>
                <w:tab w:val="left" w:pos="2880"/>
              </w:tabs>
              <w:spacing w:line="360" w:lineRule="auto"/>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155" w:type="dxa"/>
            <w:gridSpan w:val="8"/>
            <w:vAlign w:val="center"/>
          </w:tcPr>
          <w:p>
            <w:pPr>
              <w:tabs>
                <w:tab w:val="left" w:pos="2880"/>
                <w:tab w:val="left" w:pos="5382"/>
              </w:tabs>
              <w:spacing w:line="360" w:lineRule="auto"/>
              <w:jc w:val="left"/>
              <w:rPr>
                <w:rFonts w:ascii="宋体" w:hAnsi="宋体"/>
                <w:szCs w:val="21"/>
              </w:rPr>
            </w:pPr>
            <w:r>
              <w:rPr>
                <w:rFonts w:hint="eastAsia" w:ascii="宋体" w:hAnsi="宋体"/>
                <w:snapToGrid w:val="0"/>
                <w:kern w:val="0"/>
                <w:szCs w:val="21"/>
                <w:lang w:val="en-US" w:eastAsia="zh-CN"/>
              </w:rPr>
              <w:t>2年</w:t>
            </w:r>
            <w:r>
              <w:rPr>
                <w:rFonts w:hint="eastAsia" w:ascii="宋体" w:hAnsi="宋体"/>
                <w:snapToGrid w:val="0"/>
                <w:kern w:val="0"/>
                <w:szCs w:val="21"/>
              </w:rPr>
              <w:t>维护保养费合计（</w:t>
            </w:r>
            <w:r>
              <w:rPr>
                <w:rFonts w:hint="eastAsia" w:ascii="宋体" w:hAnsi="宋体"/>
                <w:szCs w:val="21"/>
              </w:rPr>
              <w:t>人民币大写</w:t>
            </w:r>
            <w:r>
              <w:rPr>
                <w:rFonts w:hint="eastAsia" w:ascii="宋体" w:hAnsi="宋体"/>
                <w:snapToGrid w:val="0"/>
                <w:kern w:val="0"/>
                <w:szCs w:val="21"/>
              </w:rPr>
              <w:t>）：</w:t>
            </w:r>
            <w:r>
              <w:rPr>
                <w:rFonts w:hint="eastAsia" w:ascii="宋体" w:hAnsi="宋体"/>
                <w:szCs w:val="21"/>
              </w:rPr>
              <w:t xml:space="preserve">     /                     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155" w:type="dxa"/>
            <w:gridSpan w:val="8"/>
            <w:vAlign w:val="center"/>
          </w:tcPr>
          <w:p>
            <w:pPr>
              <w:tabs>
                <w:tab w:val="left" w:pos="2880"/>
                <w:tab w:val="left" w:pos="5382"/>
              </w:tabs>
              <w:spacing w:line="360" w:lineRule="auto"/>
              <w:rPr>
                <w:rFonts w:ascii="宋体" w:hAnsi="宋体"/>
                <w:szCs w:val="21"/>
              </w:rPr>
            </w:pPr>
            <w:r>
              <w:rPr>
                <w:rFonts w:hint="eastAsia" w:ascii="宋体" w:hAnsi="宋体"/>
                <w:snapToGrid w:val="0"/>
                <w:kern w:val="0"/>
                <w:szCs w:val="21"/>
              </w:rPr>
              <w:t>本合同首年维护保养费合计（</w:t>
            </w:r>
            <w:r>
              <w:rPr>
                <w:rFonts w:hint="eastAsia" w:ascii="宋体" w:hAnsi="宋体"/>
                <w:szCs w:val="21"/>
              </w:rPr>
              <w:t>人民币大写</w:t>
            </w:r>
            <w:r>
              <w:rPr>
                <w:rFonts w:hint="eastAsia" w:ascii="宋体" w:hAnsi="宋体"/>
                <w:snapToGrid w:val="0"/>
                <w:kern w:val="0"/>
                <w:szCs w:val="21"/>
              </w:rPr>
              <w:t>）：</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整（小写：   </w:t>
            </w:r>
            <w:r>
              <w:rPr>
                <w:rFonts w:hint="eastAsia" w:ascii="宋体" w:hAnsi="宋体"/>
                <w:szCs w:val="21"/>
                <w:lang w:val="en-US" w:eastAsia="zh-CN"/>
              </w:rPr>
              <w:t xml:space="preserve">       </w:t>
            </w:r>
            <w:r>
              <w:rPr>
                <w:rFonts w:hint="eastAsia" w:ascii="宋体" w:hAnsi="宋体"/>
                <w:szCs w:val="21"/>
              </w:rPr>
              <w:t xml:space="preserve"> ）</w:t>
            </w:r>
          </w:p>
          <w:p>
            <w:pPr>
              <w:tabs>
                <w:tab w:val="left" w:pos="2880"/>
                <w:tab w:val="left" w:pos="5382"/>
              </w:tabs>
              <w:spacing w:line="360" w:lineRule="auto"/>
              <w:rPr>
                <w:rFonts w:ascii="宋体" w:hAnsi="宋体"/>
                <w:szCs w:val="21"/>
              </w:rPr>
            </w:pPr>
            <w:r>
              <w:rPr>
                <w:rFonts w:hint="eastAsia" w:ascii="宋体" w:hAnsi="宋体"/>
                <w:szCs w:val="21"/>
              </w:rPr>
              <w:t>本合同第二年维护保养费合计（人民币大写）：                整（小写：           ）</w:t>
            </w:r>
          </w:p>
        </w:tc>
      </w:tr>
    </w:tbl>
    <w:p>
      <w:pPr>
        <w:spacing w:line="360" w:lineRule="auto"/>
        <w:rPr>
          <w:rFonts w:ascii="宋体"/>
          <w:sz w:val="18"/>
          <w:szCs w:val="18"/>
        </w:rPr>
      </w:pPr>
      <w:r>
        <w:rPr>
          <w:rFonts w:hint="eastAsia" w:ascii="宋体"/>
          <w:sz w:val="18"/>
          <w:szCs w:val="18"/>
        </w:rPr>
        <w:t>人民币大写示例：零、壹、贰、叁、肆、伍、陆、柒、捌、玖、拾、佰、仟、万</w:t>
      </w:r>
    </w:p>
    <w:p>
      <w:pPr>
        <w:spacing w:line="360" w:lineRule="auto"/>
        <w:rPr>
          <w:rFonts w:ascii="宋体" w:hAnsi="宋体" w:cs="宋体"/>
          <w:kern w:val="0"/>
          <w:szCs w:val="21"/>
        </w:rPr>
      </w:pPr>
      <w:r>
        <w:rPr>
          <w:rFonts w:hint="eastAsia" w:ascii="宋体" w:hAnsi="宋体" w:cs="ËÎÌå"/>
          <w:b/>
          <w:kern w:val="0"/>
          <w:szCs w:val="21"/>
        </w:rPr>
        <w:t xml:space="preserve">第三条  </w:t>
      </w:r>
      <w:r>
        <w:rPr>
          <w:rFonts w:hint="eastAsia" w:ascii="宋体" w:hAnsi="宋体"/>
          <w:b/>
          <w:kern w:val="0"/>
          <w:szCs w:val="21"/>
        </w:rPr>
        <w:t>日常维护保养期限</w:t>
      </w:r>
    </w:p>
    <w:p>
      <w:pPr>
        <w:tabs>
          <w:tab w:val="left" w:pos="2880"/>
        </w:tabs>
        <w:spacing w:line="360" w:lineRule="auto"/>
        <w:rPr>
          <w:rFonts w:hint="eastAsia" w:ascii="宋体"/>
        </w:rPr>
      </w:pPr>
      <w:r>
        <w:rPr>
          <w:rFonts w:hint="eastAsia" w:ascii="宋体"/>
        </w:rPr>
        <w:t>本合同服务期限为</w:t>
      </w:r>
      <w:r>
        <w:rPr>
          <w:rFonts w:hint="eastAsia" w:ascii="宋体"/>
          <w:u w:val="single"/>
        </w:rPr>
        <w:t xml:space="preserve">  壹   </w:t>
      </w:r>
      <w:r>
        <w:rPr>
          <w:rFonts w:hint="eastAsia" w:ascii="宋体"/>
        </w:rPr>
        <w:t>年，</w:t>
      </w:r>
      <w:r>
        <w:rPr>
          <w:rFonts w:hint="eastAsia" w:ascii="宋体" w:hAnsi="宋体"/>
          <w:kern w:val="0"/>
          <w:szCs w:val="21"/>
        </w:rPr>
        <w:t>自</w:t>
      </w:r>
      <w:r>
        <w:rPr>
          <w:rFonts w:hint="eastAsia"/>
          <w:u w:val="single"/>
        </w:rPr>
        <w:t xml:space="preserve">      202</w:t>
      </w:r>
      <w:r>
        <w:rPr>
          <w:rFonts w:hint="eastAsia"/>
          <w:u w:val="single"/>
          <w:lang w:val="en-US" w:eastAsia="zh-CN"/>
        </w:rPr>
        <w:t>3</w:t>
      </w:r>
      <w:r>
        <w:rPr>
          <w:rFonts w:hint="eastAsia"/>
          <w:u w:val="single"/>
        </w:rPr>
        <w:t xml:space="preserve">   </w:t>
      </w:r>
      <w:r>
        <w:rPr>
          <w:rFonts w:hint="eastAsia" w:ascii="宋体" w:hAnsi="宋体"/>
          <w:kern w:val="0"/>
          <w:szCs w:val="21"/>
        </w:rPr>
        <w:t>年</w:t>
      </w:r>
      <w:r>
        <w:rPr>
          <w:rFonts w:hint="eastAsia"/>
          <w:u w:val="single"/>
        </w:rPr>
        <w:t xml:space="preserve">   5   </w:t>
      </w:r>
      <w:r>
        <w:rPr>
          <w:rFonts w:hint="eastAsia" w:ascii="宋体" w:hAnsi="宋体"/>
          <w:kern w:val="0"/>
          <w:szCs w:val="21"/>
        </w:rPr>
        <w:t>月</w:t>
      </w:r>
      <w:r>
        <w:rPr>
          <w:rFonts w:hint="eastAsia"/>
          <w:u w:val="single"/>
        </w:rPr>
        <w:t xml:space="preserve">      1</w:t>
      </w:r>
      <w:r>
        <w:rPr>
          <w:rFonts w:hint="eastAsia" w:ascii="宋体" w:hAnsi="宋体"/>
          <w:kern w:val="0"/>
          <w:szCs w:val="21"/>
        </w:rPr>
        <w:t>日起至</w:t>
      </w:r>
      <w:r>
        <w:rPr>
          <w:rFonts w:hint="eastAsia"/>
          <w:u w:val="single"/>
        </w:rPr>
        <w:t xml:space="preserve">     202</w:t>
      </w:r>
      <w:r>
        <w:rPr>
          <w:rFonts w:hint="eastAsia"/>
          <w:u w:val="single"/>
          <w:lang w:val="en-US" w:eastAsia="zh-CN"/>
        </w:rPr>
        <w:t>5</w:t>
      </w:r>
      <w:r>
        <w:rPr>
          <w:rFonts w:hint="eastAsia"/>
          <w:u w:val="single"/>
        </w:rPr>
        <w:t xml:space="preserve">   </w:t>
      </w:r>
      <w:r>
        <w:rPr>
          <w:rFonts w:hint="eastAsia" w:ascii="宋体" w:hAnsi="宋体"/>
          <w:kern w:val="0"/>
          <w:szCs w:val="21"/>
        </w:rPr>
        <w:t>年</w:t>
      </w:r>
      <w:r>
        <w:rPr>
          <w:rFonts w:hint="eastAsia"/>
          <w:u w:val="single"/>
        </w:rPr>
        <w:t xml:space="preserve"> 4   </w:t>
      </w:r>
      <w:r>
        <w:rPr>
          <w:rFonts w:hint="eastAsia" w:ascii="宋体" w:hAnsi="宋体"/>
          <w:kern w:val="0"/>
          <w:szCs w:val="21"/>
        </w:rPr>
        <w:t>月</w:t>
      </w:r>
      <w:r>
        <w:rPr>
          <w:rFonts w:hint="eastAsia"/>
          <w:u w:val="single"/>
        </w:rPr>
        <w:t xml:space="preserve"> 30   </w:t>
      </w:r>
      <w:r>
        <w:rPr>
          <w:rFonts w:hint="eastAsia" w:ascii="宋体" w:hAnsi="宋体"/>
          <w:kern w:val="0"/>
          <w:szCs w:val="21"/>
        </w:rPr>
        <w:t>日止，</w:t>
      </w:r>
      <w:r>
        <w:rPr>
          <w:rFonts w:hint="eastAsia" w:ascii="宋体"/>
        </w:rPr>
        <w:t>服务期限届满后，甲方如有意向与乙方续约，应在合同服务期满的一个月前与乙方签订服务合同。</w:t>
      </w:r>
    </w:p>
    <w:p>
      <w:pPr>
        <w:pStyle w:val="3"/>
        <w:spacing w:line="360" w:lineRule="auto"/>
        <w:rPr>
          <w:rFonts w:hint="eastAsia" w:ascii="宋体"/>
        </w:rPr>
      </w:pPr>
      <w:r>
        <w:rPr>
          <w:rFonts w:hint="eastAsia" w:ascii="仿宋" w:hAnsi="仿宋" w:eastAsia="仿宋" w:cstheme="minorBidi"/>
          <w:bCs/>
          <w:color w:val="000000"/>
          <w:kern w:val="2"/>
          <w:sz w:val="24"/>
          <w:szCs w:val="24"/>
          <w:highlight w:val="yellow"/>
          <w:lang w:val="en-US" w:eastAsia="zh-CN" w:bidi="ar-SA"/>
        </w:rPr>
        <w:t>备注：因鹿城院区装潢可能停梯需要暂停维保服务，电梯维保服务停梯后按实际维保使用天数结算。</w:t>
      </w:r>
    </w:p>
    <w:p>
      <w:pPr>
        <w:spacing w:line="360" w:lineRule="auto"/>
        <w:jc w:val="left"/>
        <w:rPr>
          <w:rFonts w:ascii="宋体" w:hAnsi="宋体" w:cs="宋体"/>
          <w:b/>
          <w:kern w:val="0"/>
          <w:szCs w:val="21"/>
        </w:rPr>
      </w:pPr>
      <w:r>
        <w:rPr>
          <w:rFonts w:hint="eastAsia" w:ascii="宋体" w:hAnsi="宋体" w:cs="宋体"/>
          <w:b/>
          <w:kern w:val="0"/>
          <w:szCs w:val="21"/>
        </w:rPr>
        <w:t>第四条  结算方式</w:t>
      </w:r>
    </w:p>
    <w:p>
      <w:pPr>
        <w:spacing w:line="360" w:lineRule="auto"/>
        <w:rPr>
          <w:rFonts w:ascii="宋体" w:hAnsi="宋体"/>
          <w:szCs w:val="21"/>
          <w:u w:val="single"/>
        </w:rPr>
      </w:pPr>
      <w:r>
        <w:rPr>
          <w:rFonts w:hint="eastAsia" w:ascii="宋体" w:hAnsi="宋体"/>
          <w:szCs w:val="21"/>
        </w:rPr>
        <w:t>4.1付款方式为预付款：</w:t>
      </w:r>
      <w:r>
        <w:rPr>
          <w:rFonts w:hint="eastAsia" w:ascii="宋体" w:hAnsi="宋体"/>
          <w:szCs w:val="21"/>
        </w:rPr>
        <w:sym w:font="Wingdings 2" w:char="F052"/>
      </w:r>
      <w:r>
        <w:rPr>
          <w:rFonts w:hint="eastAsia" w:ascii="宋体" w:hAnsi="宋体"/>
          <w:szCs w:val="21"/>
        </w:rPr>
        <w:t xml:space="preserve"> 银行转帐  □ 支票 　□其他</w:t>
      </w:r>
      <w:r>
        <w:rPr>
          <w:rFonts w:hint="eastAsia"/>
          <w:u w:val="single"/>
        </w:rPr>
        <w:t xml:space="preserve">           </w:t>
      </w:r>
    </w:p>
    <w:p>
      <w:pPr>
        <w:spacing w:line="360" w:lineRule="auto"/>
        <w:jc w:val="left"/>
        <w:rPr>
          <w:rFonts w:ascii="宋体"/>
        </w:rPr>
      </w:pPr>
      <w:r>
        <w:rPr>
          <w:rFonts w:hint="eastAsia" w:ascii="宋体" w:hAnsi="宋体"/>
          <w:szCs w:val="21"/>
        </w:rPr>
        <w:t>4.2</w:t>
      </w:r>
      <w:r>
        <w:rPr>
          <w:rFonts w:hint="eastAsia" w:ascii="宋体"/>
        </w:rPr>
        <w:t>付款周期为(</w:t>
      </w:r>
      <w:r>
        <w:rPr>
          <w:rFonts w:hint="eastAsia" w:ascii="宋体" w:hAnsi="宋体"/>
          <w:szCs w:val="21"/>
        </w:rPr>
        <w:sym w:font="Wingdings 2" w:char="F052"/>
      </w:r>
      <w:r>
        <w:rPr>
          <w:rFonts w:hint="eastAsia"/>
        </w:rPr>
        <w:t xml:space="preserve">6个月/ </w:t>
      </w:r>
      <w:r>
        <w:rPr>
          <w:rFonts w:hint="eastAsia" w:ascii="宋体" w:hAnsi="宋体"/>
          <w:szCs w:val="21"/>
        </w:rPr>
        <w:t>□</w:t>
      </w:r>
      <w:r>
        <w:rPr>
          <w:rFonts w:hint="eastAsia"/>
        </w:rPr>
        <w:t>12</w:t>
      </w:r>
      <w:r>
        <w:rPr>
          <w:rFonts w:hint="eastAsia" w:ascii="宋体"/>
        </w:rPr>
        <w:t>个月)，分</w:t>
      </w:r>
      <w:r>
        <w:rPr>
          <w:rFonts w:hint="eastAsia"/>
          <w:u w:val="single"/>
        </w:rPr>
        <w:t xml:space="preserve">   </w:t>
      </w:r>
      <w:r>
        <w:rPr>
          <w:rFonts w:hint="eastAsia"/>
          <w:u w:val="single"/>
          <w:lang w:val="en-US" w:eastAsia="zh-CN"/>
        </w:rPr>
        <w:t>肆</w:t>
      </w:r>
      <w:r>
        <w:rPr>
          <w:rFonts w:hint="eastAsia"/>
          <w:u w:val="single"/>
        </w:rPr>
        <w:t xml:space="preserve">  </w:t>
      </w:r>
      <w:r>
        <w:rPr>
          <w:rFonts w:hint="eastAsia" w:ascii="宋体"/>
        </w:rPr>
        <w:t>期支付，首期款即人民币</w:t>
      </w:r>
      <w:r>
        <w:rPr>
          <w:rFonts w:hint="eastAsia"/>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ascii="宋体"/>
        </w:rPr>
        <w:t>元应于202</w:t>
      </w:r>
      <w:r>
        <w:rPr>
          <w:rFonts w:hint="eastAsia" w:ascii="宋体"/>
          <w:lang w:val="en-US" w:eastAsia="zh-CN"/>
        </w:rPr>
        <w:t>3</w:t>
      </w:r>
      <w:r>
        <w:rPr>
          <w:rFonts w:hint="eastAsia"/>
          <w:u w:val="single"/>
        </w:rPr>
        <w:t xml:space="preserve">        </w:t>
      </w:r>
      <w:r>
        <w:rPr>
          <w:rFonts w:hint="eastAsia" w:ascii="宋体"/>
        </w:rPr>
        <w:t>年</w:t>
      </w:r>
      <w:r>
        <w:rPr>
          <w:rFonts w:hint="eastAsia"/>
          <w:u w:val="single"/>
        </w:rPr>
        <w:t xml:space="preserve">    11  </w:t>
      </w:r>
      <w:r>
        <w:rPr>
          <w:rFonts w:hint="eastAsia" w:ascii="宋体"/>
        </w:rPr>
        <w:t>月</w:t>
      </w:r>
      <w:r>
        <w:rPr>
          <w:rFonts w:hint="eastAsia"/>
          <w:u w:val="single"/>
        </w:rPr>
        <w:t xml:space="preserve">    1</w:t>
      </w:r>
      <w:r>
        <w:rPr>
          <w:rFonts w:hint="eastAsia" w:ascii="宋体"/>
        </w:rPr>
        <w:t>日前支付，以后各期保养费均应在各付款周期的第一个月</w:t>
      </w:r>
      <w:r>
        <w:rPr>
          <w:rFonts w:hint="eastAsia" w:ascii="宋体"/>
          <w:u w:val="single"/>
        </w:rPr>
        <w:t xml:space="preserve">   / </w:t>
      </w:r>
      <w:r>
        <w:rPr>
          <w:rFonts w:hint="eastAsia"/>
        </w:rPr>
        <w:t xml:space="preserve"> </w:t>
      </w:r>
      <w:r>
        <w:rPr>
          <w:rFonts w:hint="eastAsia" w:ascii="宋体"/>
        </w:rPr>
        <w:t>日前支付，逾期付款的，</w:t>
      </w:r>
      <w:r>
        <w:rPr>
          <w:rFonts w:hint="eastAsia" w:ascii="宋体" w:hAnsi="宋体"/>
          <w:szCs w:val="21"/>
        </w:rPr>
        <w:t>每延误一日应当向乙方支付延误部分费用千分之二的违约金。</w:t>
      </w:r>
      <w:r>
        <w:rPr>
          <w:rFonts w:hint="eastAsia" w:ascii="宋体"/>
        </w:rPr>
        <w:t>鉴于发票和收据不具有付款证明的效力，甲方应保留有关付款的凭证以证明其已向乙方支付了相应款项。</w:t>
      </w:r>
    </w:p>
    <w:p>
      <w:pPr>
        <w:tabs>
          <w:tab w:val="left" w:pos="2880"/>
        </w:tabs>
        <w:spacing w:line="360" w:lineRule="auto"/>
        <w:rPr>
          <w:rFonts w:ascii="宋体"/>
        </w:rPr>
      </w:pPr>
      <w:r>
        <w:rPr>
          <w:rFonts w:hint="eastAsia" w:ascii="宋体"/>
        </w:rPr>
        <w:t>4.3合同价格将根据材料及工时成本的变化、市场行情等进行调整，每年调整的幅度为上一年合同总金额的__/</w:t>
      </w:r>
      <w:r>
        <w:rPr>
          <w:rFonts w:hint="eastAsia" w:ascii="宋体"/>
          <w:u w:val="single"/>
        </w:rPr>
        <w:t xml:space="preserve">   </w:t>
      </w:r>
      <w:r>
        <w:rPr>
          <w:rFonts w:hint="eastAsia" w:ascii="宋体"/>
        </w:rPr>
        <w:t>_%，调价自第一年合同期满开始。</w:t>
      </w:r>
    </w:p>
    <w:p>
      <w:pPr>
        <w:tabs>
          <w:tab w:val="left" w:pos="2880"/>
        </w:tabs>
        <w:spacing w:line="360" w:lineRule="auto"/>
        <w:ind w:right="-88" w:rightChars="-42"/>
        <w:rPr>
          <w:rFonts w:ascii="宋体"/>
        </w:rPr>
      </w:pPr>
      <w:r>
        <w:rPr>
          <w:rFonts w:hint="eastAsia" w:ascii="宋体"/>
        </w:rPr>
        <w:t>4.4额外费用</w:t>
      </w:r>
    </w:p>
    <w:p>
      <w:pPr>
        <w:spacing w:line="360" w:lineRule="auto"/>
        <w:ind w:right="29"/>
        <w:rPr>
          <w:rFonts w:ascii="宋体"/>
        </w:rPr>
      </w:pPr>
      <w:r>
        <w:rPr>
          <w:rFonts w:hint="eastAsia" w:ascii="宋体"/>
        </w:rPr>
        <w:t>4.4.1电/扶梯零部件需更换的，所有更换费用（包括灯管等易损件、导轨轴承机油等易耗件以及人工费）均由甲方承担。对于一些重大维修或者当国家有关安全标准的规定发生改变需增减安全装置例如：主机轴承更换、主机更换、钢丝绳更换、轿厢起吊等非日常维护工作，在甲方和乙方签订相关更换或者维修协议并由甲方支付所需费用后，由乙方完成。</w:t>
      </w:r>
    </w:p>
    <w:p>
      <w:pPr>
        <w:spacing w:line="360" w:lineRule="auto"/>
        <w:ind w:right="29"/>
        <w:rPr>
          <w:rFonts w:hint="eastAsia" w:ascii="宋体"/>
        </w:rPr>
      </w:pPr>
      <w:r>
        <w:rPr>
          <w:rFonts w:ascii="宋体"/>
        </w:rPr>
        <w:t>4.4.2</w:t>
      </w:r>
      <w:r>
        <w:rPr>
          <w:rFonts w:hint="eastAsia" w:ascii="宋体"/>
        </w:rPr>
        <w:t>本合同所涉全部零部件均需依据双方签订的《T业务合约单》或《电/扶梯修理合同》方可领用。</w:t>
      </w:r>
    </w:p>
    <w:p>
      <w:pPr>
        <w:spacing w:line="360" w:lineRule="auto"/>
        <w:ind w:right="29"/>
        <w:rPr>
          <w:rFonts w:hint="eastAsia" w:ascii="宋体"/>
        </w:rPr>
      </w:pPr>
      <w:r>
        <w:rPr>
          <w:rFonts w:hint="eastAsia" w:ascii="宋体"/>
        </w:rPr>
        <w:t>4.4.3需甲方付费购买的零部件金额小于等于5000元时，《T业务合约单》可经甲方加盖公章后生效或甲方指定授权人员</w:t>
      </w:r>
      <w:r>
        <w:rPr>
          <w:rFonts w:hint="eastAsia" w:ascii="宋体"/>
          <w:u w:val="single"/>
        </w:rPr>
        <w:t xml:space="preserve">             </w:t>
      </w:r>
      <w:r>
        <w:rPr>
          <w:rFonts w:hint="eastAsia" w:ascii="宋体"/>
        </w:rPr>
        <w:t>签字后生效（免费零部件必须加盖公章），原则上甲方应按照《T业务合约单》的约定按期付款，最迟应在次月  5  号前结清上月度产生的全部零部件费用；</w:t>
      </w:r>
    </w:p>
    <w:p>
      <w:pPr>
        <w:spacing w:line="360" w:lineRule="auto"/>
        <w:ind w:right="29"/>
        <w:rPr>
          <w:rFonts w:hint="eastAsia" w:ascii="宋体"/>
        </w:rPr>
      </w:pPr>
      <w:r>
        <w:rPr>
          <w:rFonts w:hint="eastAsia" w:ascii="宋体"/>
        </w:rPr>
        <w:t>4.4.4需甲方付费购买的零部件金额大于5000元时，双方需另行签订《电/扶梯修理合同》，该《电/扶梯修理合同》自双方盖章之日起生效，且约定的预付款不得少于50%。</w:t>
      </w:r>
    </w:p>
    <w:p>
      <w:pPr>
        <w:spacing w:line="360" w:lineRule="auto"/>
        <w:ind w:right="29"/>
        <w:rPr>
          <w:rFonts w:hint="eastAsia" w:ascii="宋体"/>
        </w:rPr>
      </w:pPr>
      <w:r>
        <w:rPr>
          <w:rFonts w:hint="eastAsia" w:ascii="宋体"/>
        </w:rPr>
        <w:t>4.4.5甲方未按照上述约定支付相应款项超过90日时，乙方有权暂缓提供所有零部件，且不视为乙方违约。</w:t>
      </w:r>
    </w:p>
    <w:p>
      <w:pPr>
        <w:spacing w:line="360" w:lineRule="auto"/>
        <w:ind w:right="29"/>
        <w:rPr>
          <w:rFonts w:hint="eastAsia" w:ascii="宋体"/>
        </w:rPr>
      </w:pPr>
      <w:r>
        <w:rPr>
          <w:rFonts w:hint="eastAsia" w:ascii="宋体"/>
        </w:rPr>
        <w:t>4.5乙方开户银行及银行帐号为乙方指定唯一帐户，甲方所付款项均应汇入该帐户。任何支付行为不直接支付该帐户的，均不当然认为乙方授权。任何情况下，设备的交付以及乙方向甲方提供发票或收据的行为均不能作为甲方已向乙方支付相应款项的依据。</w:t>
      </w:r>
    </w:p>
    <w:p>
      <w:pPr>
        <w:spacing w:line="360" w:lineRule="auto"/>
        <w:ind w:right="29"/>
        <w:rPr>
          <w:rFonts w:hint="eastAsia" w:ascii="宋体"/>
        </w:rPr>
      </w:pPr>
      <w:r>
        <w:rPr>
          <w:rFonts w:hint="eastAsia" w:ascii="宋体"/>
        </w:rPr>
        <w:t xml:space="preserve">4.6 本合同包含年度检测    是 </w:t>
      </w:r>
      <w:r>
        <w:rPr>
          <w:rFonts w:hint="eastAsia" w:ascii="宋体"/>
          <w:lang w:eastAsia="zh-CN"/>
        </w:rPr>
        <w:t>□</w:t>
      </w:r>
      <w:r>
        <w:rPr>
          <w:rFonts w:hint="eastAsia" w:ascii="宋体"/>
        </w:rPr>
        <w:t xml:space="preserve">   共计       台，         元   </w:t>
      </w:r>
      <w:r>
        <w:rPr>
          <w:rFonts w:hint="eastAsia" w:ascii="宋体"/>
          <w:lang w:val="en-US" w:eastAsia="zh-CN"/>
        </w:rPr>
        <w:t xml:space="preserve">  </w:t>
      </w:r>
      <w:r>
        <w:rPr>
          <w:rFonts w:hint="eastAsia" w:ascii="宋体"/>
        </w:rPr>
        <w:t xml:space="preserve">  否 </w:t>
      </w:r>
      <w:r>
        <w:rPr>
          <w:rFonts w:hint="eastAsia" w:ascii="宋体"/>
        </w:rPr>
        <w:sym w:font="Wingdings 2" w:char="F052"/>
      </w:r>
      <w:r>
        <w:rPr>
          <w:rFonts w:hint="eastAsia" w:ascii="宋体"/>
        </w:rPr>
        <w:t xml:space="preserve">           </w:t>
      </w:r>
    </w:p>
    <w:p>
      <w:pPr>
        <w:tabs>
          <w:tab w:val="left" w:pos="5625"/>
        </w:tabs>
        <w:spacing w:line="360" w:lineRule="auto"/>
        <w:ind w:right="29"/>
        <w:rPr>
          <w:rFonts w:ascii="宋体" w:hAnsi="宋体" w:cs="ËÎÌå"/>
          <w:b/>
          <w:kern w:val="0"/>
          <w:szCs w:val="21"/>
          <w:u w:val="single"/>
        </w:rPr>
      </w:pPr>
      <w:r>
        <w:rPr>
          <w:rFonts w:hint="eastAsia" w:ascii="宋体" w:hAnsi="宋体"/>
          <w:b/>
          <w:szCs w:val="21"/>
        </w:rPr>
        <w:t>第五条  甲方权利、义务</w:t>
      </w:r>
      <w:r>
        <w:rPr>
          <w:rFonts w:ascii="宋体" w:hAnsi="宋体"/>
          <w:b/>
          <w:szCs w:val="21"/>
        </w:rPr>
        <w:tab/>
      </w:r>
    </w:p>
    <w:p>
      <w:pPr>
        <w:spacing w:line="360" w:lineRule="auto"/>
        <w:rPr>
          <w:rFonts w:ascii="宋体" w:hAnsi="宋体"/>
          <w:szCs w:val="21"/>
        </w:rPr>
      </w:pPr>
      <w:r>
        <w:rPr>
          <w:rFonts w:hint="eastAsia" w:ascii="宋体" w:hAnsi="宋体"/>
          <w:szCs w:val="21"/>
        </w:rPr>
        <w:t>5.1权利</w:t>
      </w:r>
    </w:p>
    <w:p>
      <w:pPr>
        <w:spacing w:line="360" w:lineRule="auto"/>
        <w:rPr>
          <w:rFonts w:ascii="宋体" w:hAnsi="宋体"/>
          <w:szCs w:val="21"/>
        </w:rPr>
      </w:pPr>
      <w:r>
        <w:rPr>
          <w:rFonts w:hint="eastAsia" w:ascii="宋体" w:hAnsi="宋体"/>
          <w:szCs w:val="21"/>
        </w:rPr>
        <w:t>5.1.1</w:t>
      </w:r>
      <w:r>
        <w:rPr>
          <w:rFonts w:hint="eastAsia" w:ascii="宋体" w:hAnsi="宋体"/>
          <w:color w:val="000000"/>
          <w:szCs w:val="21"/>
        </w:rPr>
        <w:t>有权要求乙方保障电梯的正常运行；</w:t>
      </w:r>
    </w:p>
    <w:p>
      <w:pPr>
        <w:spacing w:line="360" w:lineRule="auto"/>
        <w:rPr>
          <w:rFonts w:ascii="宋体" w:hAnsi="宋体"/>
          <w:color w:val="000000"/>
          <w:szCs w:val="21"/>
        </w:rPr>
      </w:pPr>
      <w:r>
        <w:rPr>
          <w:rFonts w:hint="eastAsia" w:ascii="宋体" w:hAnsi="宋体"/>
          <w:szCs w:val="21"/>
        </w:rPr>
        <w:t>5.1.2有权监督乙方按照合同约定履行维护保养义务，发出故障通知或提出建议。</w:t>
      </w:r>
    </w:p>
    <w:p>
      <w:pPr>
        <w:spacing w:line="360" w:lineRule="auto"/>
        <w:rPr>
          <w:rFonts w:ascii="宋体" w:hAnsi="宋体"/>
          <w:szCs w:val="21"/>
        </w:rPr>
      </w:pPr>
      <w:r>
        <w:rPr>
          <w:rFonts w:hint="eastAsia" w:ascii="宋体" w:hAnsi="宋体"/>
          <w:szCs w:val="21"/>
        </w:rPr>
        <w:t>5.2义务</w:t>
      </w:r>
    </w:p>
    <w:p>
      <w:pPr>
        <w:spacing w:line="360" w:lineRule="auto"/>
        <w:rPr>
          <w:rFonts w:ascii="宋体" w:hAnsi="宋体" w:cs="宋体"/>
          <w:kern w:val="0"/>
          <w:szCs w:val="21"/>
        </w:rPr>
      </w:pPr>
      <w:r>
        <w:rPr>
          <w:rFonts w:hint="eastAsia" w:ascii="宋体" w:hAnsi="宋体"/>
          <w:szCs w:val="21"/>
        </w:rPr>
        <w:t>5.2.1</w:t>
      </w:r>
      <w:r>
        <w:rPr>
          <w:rFonts w:hint="eastAsia" w:ascii="宋体" w:hAnsi="宋体" w:cs="宋体"/>
          <w:kern w:val="0"/>
          <w:szCs w:val="21"/>
        </w:rPr>
        <w:t>保存每台电梯原始资料，建立管理和使用记录档案；</w:t>
      </w:r>
    </w:p>
    <w:p>
      <w:pPr>
        <w:spacing w:line="360" w:lineRule="auto"/>
        <w:rPr>
          <w:rFonts w:ascii="宋体" w:hAnsi="宋体" w:cs="宋体"/>
          <w:kern w:val="0"/>
          <w:szCs w:val="21"/>
        </w:rPr>
      </w:pPr>
      <w:r>
        <w:rPr>
          <w:rFonts w:hint="eastAsia" w:ascii="宋体" w:hAnsi="宋体"/>
          <w:szCs w:val="21"/>
        </w:rPr>
        <w:t>5.2.2</w:t>
      </w:r>
      <w:r>
        <w:rPr>
          <w:rFonts w:hint="eastAsia" w:ascii="宋体" w:hAnsi="宋体" w:cs="宋体-18030"/>
          <w:kern w:val="0"/>
          <w:szCs w:val="21"/>
        </w:rPr>
        <w:t>建立电梯使用情况的巡查制度，保证电梯的用电、通讯和监控报警装置等系统安全可靠；</w:t>
      </w:r>
      <w:r>
        <w:rPr>
          <w:rFonts w:hint="eastAsia" w:ascii="宋体" w:hAnsi="宋体" w:cs="宋体"/>
          <w:kern w:val="0"/>
          <w:szCs w:val="21"/>
        </w:rPr>
        <w:t>保证机房、井道、底坑无漏水渗水现象；</w:t>
      </w:r>
      <w:r>
        <w:rPr>
          <w:rFonts w:hint="eastAsia" w:ascii="宋体"/>
        </w:rPr>
        <w:t>进入机房</w:t>
      </w:r>
      <w:r>
        <w:rPr>
          <w:rFonts w:hint="eastAsia" w:ascii="宋体" w:hAnsi="宋体" w:cs="宋体"/>
          <w:kern w:val="0"/>
          <w:szCs w:val="21"/>
        </w:rPr>
        <w:t>通道畅通且</w:t>
      </w:r>
      <w:r>
        <w:rPr>
          <w:rFonts w:hint="eastAsia" w:ascii="宋体"/>
        </w:rPr>
        <w:t>机房有足够的照明、通风、适合设备运行的温度；</w:t>
      </w:r>
    </w:p>
    <w:p>
      <w:pPr>
        <w:spacing w:line="360" w:lineRule="auto"/>
        <w:rPr>
          <w:rFonts w:ascii="宋体" w:hAnsi="宋体"/>
          <w:szCs w:val="21"/>
        </w:rPr>
      </w:pPr>
      <w:r>
        <w:rPr>
          <w:rFonts w:hint="eastAsia" w:ascii="宋体" w:hAnsi="宋体" w:cs="宋体"/>
          <w:kern w:val="0"/>
          <w:szCs w:val="21"/>
        </w:rPr>
        <w:t>5.2.3乙方</w:t>
      </w:r>
      <w:r>
        <w:rPr>
          <w:rFonts w:hint="eastAsia" w:ascii="宋体" w:hAnsi="宋体"/>
          <w:szCs w:val="21"/>
        </w:rPr>
        <w:t>每次保养后，甲方的日常管理人员应在《电/扶梯服务报告》单上签字确认，甲方日常管理的授权签字人员为：</w:t>
      </w:r>
      <w:r>
        <w:rPr>
          <w:rFonts w:hint="eastAsia"/>
          <w:u w:val="single"/>
        </w:rPr>
        <w:t xml:space="preserve">                                           </w:t>
      </w:r>
      <w:r>
        <w:rPr>
          <w:rFonts w:hint="eastAsia" w:ascii="宋体" w:hAnsi="宋体"/>
          <w:szCs w:val="21"/>
        </w:rPr>
        <w:t xml:space="preserve"> ，如果更换授权人，甲方应提前书面通知乙方；</w:t>
      </w:r>
      <w:r>
        <w:rPr>
          <w:rFonts w:hint="eastAsia" w:ascii="宋体"/>
        </w:rPr>
        <w:t>每次保养后，甲方的日常管理人员应在</w:t>
      </w:r>
      <w:r>
        <w:rPr>
          <w:rFonts w:hint="eastAsia" w:ascii="宋体" w:hAnsi="宋体"/>
          <w:szCs w:val="21"/>
        </w:rPr>
        <w:t>《电/扶梯服务报告》</w:t>
      </w:r>
      <w:r>
        <w:rPr>
          <w:rFonts w:hint="eastAsia" w:ascii="宋体"/>
        </w:rPr>
        <w:t>上的签字确认，如甲方未给予签字，在设备正常通过年检的情况下视为乙方提供的维保服务符合合同约定要求，甲方不得以</w:t>
      </w:r>
      <w:r>
        <w:rPr>
          <w:rFonts w:hint="eastAsia" w:ascii="宋体" w:hAnsi="宋体"/>
          <w:szCs w:val="21"/>
        </w:rPr>
        <w:t>《电/扶梯服务报告》</w:t>
      </w:r>
      <w:r>
        <w:rPr>
          <w:rFonts w:hint="eastAsia" w:ascii="宋体"/>
        </w:rPr>
        <w:t>未经其签字确认为由拒付合同价款。如因甲方原因拒绝在</w:t>
      </w:r>
      <w:r>
        <w:rPr>
          <w:rFonts w:hint="eastAsia" w:ascii="宋体" w:hAnsi="宋体"/>
          <w:szCs w:val="21"/>
        </w:rPr>
        <w:t>《电/扶梯服务报告》</w:t>
      </w:r>
      <w:r>
        <w:rPr>
          <w:rFonts w:hint="eastAsia" w:ascii="宋体"/>
        </w:rPr>
        <w:t>上签字确认，乙方将通过书面形式发函通知，如甲方在5天内不回复，视为对该次保养的记录进行了追认。</w:t>
      </w:r>
    </w:p>
    <w:p>
      <w:pPr>
        <w:spacing w:line="360" w:lineRule="auto"/>
        <w:rPr>
          <w:rFonts w:ascii="宋体" w:hAnsi="宋体" w:cs="宋体"/>
          <w:kern w:val="0"/>
          <w:szCs w:val="21"/>
        </w:rPr>
      </w:pPr>
      <w:r>
        <w:rPr>
          <w:rFonts w:hint="eastAsia" w:ascii="宋体" w:hAnsi="宋体"/>
          <w:szCs w:val="21"/>
        </w:rPr>
        <w:t>5.2.4</w:t>
      </w:r>
      <w:r>
        <w:rPr>
          <w:rFonts w:hint="eastAsia" w:ascii="宋体" w:hAnsi="宋体" w:cs="宋体"/>
          <w:kern w:val="0"/>
          <w:szCs w:val="21"/>
        </w:rPr>
        <w:t>应当制定电梯事故应急防范、救援措施；</w:t>
      </w:r>
    </w:p>
    <w:p>
      <w:pPr>
        <w:spacing w:line="360" w:lineRule="auto"/>
        <w:rPr>
          <w:rFonts w:ascii="宋体" w:hAnsi="宋体" w:cs="宋体"/>
          <w:kern w:val="0"/>
          <w:szCs w:val="21"/>
        </w:rPr>
      </w:pPr>
      <w:r>
        <w:rPr>
          <w:rFonts w:hint="eastAsia" w:ascii="宋体" w:hAnsi="宋体"/>
          <w:szCs w:val="21"/>
        </w:rPr>
        <w:t>5.2.5</w:t>
      </w:r>
      <w:r>
        <w:rPr>
          <w:rFonts w:hint="eastAsia" w:ascii="宋体" w:hAnsi="宋体" w:cs="宋体"/>
          <w:kern w:val="0"/>
          <w:szCs w:val="21"/>
        </w:rPr>
        <w:t>在电梯使用过程中发现故障或异常情况应当立即停止使用，并及时通知乙方；</w:t>
      </w:r>
    </w:p>
    <w:p>
      <w:pPr>
        <w:spacing w:line="360" w:lineRule="auto"/>
        <w:rPr>
          <w:rFonts w:ascii="宋体" w:hAnsi="宋体" w:cs="宋体"/>
          <w:kern w:val="0"/>
          <w:szCs w:val="21"/>
        </w:rPr>
      </w:pPr>
      <w:r>
        <w:rPr>
          <w:rFonts w:hint="eastAsia" w:ascii="宋体" w:hAnsi="宋体"/>
          <w:szCs w:val="21"/>
        </w:rPr>
        <w:t>5.2.6未经</w:t>
      </w:r>
      <w:r>
        <w:rPr>
          <w:rFonts w:hint="eastAsia" w:ascii="宋体" w:hAnsi="宋体" w:cs="宋体"/>
          <w:kern w:val="0"/>
          <w:szCs w:val="21"/>
        </w:rPr>
        <w:t>乙方许可不得允许非乙方人员从事与电梯维护保养有关的工作；</w:t>
      </w:r>
    </w:p>
    <w:p>
      <w:pPr>
        <w:spacing w:line="360" w:lineRule="auto"/>
        <w:rPr>
          <w:rFonts w:ascii="宋体" w:hAnsi="宋体" w:cs="宋体"/>
          <w:kern w:val="0"/>
          <w:szCs w:val="21"/>
        </w:rPr>
      </w:pPr>
      <w:r>
        <w:rPr>
          <w:rFonts w:hint="eastAsia" w:ascii="宋体" w:hAnsi="宋体"/>
          <w:szCs w:val="21"/>
        </w:rPr>
        <w:t>5.2.7应当</w:t>
      </w:r>
      <w:r>
        <w:rPr>
          <w:rFonts w:hint="eastAsia" w:ascii="宋体" w:hAnsi="宋体" w:cs="宋体"/>
          <w:kern w:val="0"/>
          <w:szCs w:val="21"/>
        </w:rPr>
        <w:t>为乙方提供维护保养所需的工作环境；</w:t>
      </w:r>
    </w:p>
    <w:p>
      <w:pPr>
        <w:spacing w:line="360" w:lineRule="auto"/>
      </w:pPr>
      <w:r>
        <w:rPr>
          <w:rFonts w:hint="eastAsia" w:ascii="宋体" w:hAnsi="宋体"/>
          <w:szCs w:val="21"/>
        </w:rPr>
        <w:t>5.2.8</w:t>
      </w:r>
      <w:r>
        <w:rPr>
          <w:rFonts w:hint="eastAsia" w:ascii="宋体" w:hAnsi="宋体" w:cs="宋体"/>
          <w:kern w:val="0"/>
          <w:szCs w:val="21"/>
        </w:rPr>
        <w:t>应当在电梯安全检验合格有效期届满前</w:t>
      </w:r>
      <w:r>
        <w:rPr>
          <w:rFonts w:hint="eastAsia" w:ascii="宋体" w:hAnsi="宋体" w:cs="ËÎÌå"/>
          <w:kern w:val="0"/>
          <w:szCs w:val="21"/>
        </w:rPr>
        <w:t>一</w:t>
      </w:r>
      <w:r>
        <w:rPr>
          <w:rFonts w:hint="eastAsia" w:ascii="宋体" w:hAnsi="宋体" w:cs="宋体"/>
          <w:kern w:val="0"/>
          <w:szCs w:val="21"/>
        </w:rPr>
        <w:t>个月，向</w:t>
      </w:r>
      <w:r>
        <w:rPr>
          <w:rFonts w:hint="eastAsia"/>
        </w:rPr>
        <w:t>特种设备安全监督管理部门</w:t>
      </w:r>
      <w:r>
        <w:rPr>
          <w:rFonts w:hint="eastAsia" w:ascii="宋体" w:hAnsi="宋体" w:cs="宋体"/>
          <w:kern w:val="0"/>
          <w:szCs w:val="21"/>
        </w:rPr>
        <w:t>提出电梯年检申请，并</w:t>
      </w:r>
      <w:r>
        <w:rPr>
          <w:rFonts w:hint="eastAsia"/>
        </w:rPr>
        <w:t>承担年检费，砝码费及限速器检测费用；</w:t>
      </w:r>
    </w:p>
    <w:p>
      <w:pPr>
        <w:spacing w:line="360" w:lineRule="auto"/>
        <w:rPr>
          <w:rFonts w:ascii="宋体" w:hAnsi="宋体"/>
          <w:szCs w:val="21"/>
        </w:rPr>
      </w:pPr>
      <w:r>
        <w:rPr>
          <w:rFonts w:hint="eastAsia" w:ascii="宋体" w:hAnsi="宋体"/>
          <w:szCs w:val="21"/>
        </w:rPr>
        <w:t>5.2.9承担并及时支付乙方在日常维护保养中所需润滑油和需更换零部件的费用。</w:t>
      </w:r>
    </w:p>
    <w:p>
      <w:pPr>
        <w:spacing w:line="360" w:lineRule="auto"/>
        <w:rPr>
          <w:rFonts w:ascii="宋体" w:hAnsi="宋体"/>
          <w:b/>
          <w:szCs w:val="21"/>
        </w:rPr>
      </w:pPr>
      <w:r>
        <w:rPr>
          <w:rFonts w:hint="eastAsia" w:ascii="宋体" w:hAnsi="宋体"/>
          <w:b/>
          <w:szCs w:val="21"/>
        </w:rPr>
        <w:t>第六条  乙方权利、义务</w:t>
      </w:r>
    </w:p>
    <w:p>
      <w:pPr>
        <w:spacing w:line="360" w:lineRule="auto"/>
        <w:rPr>
          <w:rFonts w:ascii="宋体" w:hAnsi="宋体"/>
          <w:szCs w:val="21"/>
        </w:rPr>
      </w:pPr>
      <w:r>
        <w:rPr>
          <w:rFonts w:hint="eastAsia" w:ascii="宋体" w:hAnsi="宋体" w:cs="黑体"/>
          <w:kern w:val="0"/>
          <w:szCs w:val="21"/>
        </w:rPr>
        <w:t>6.1</w:t>
      </w:r>
      <w:r>
        <w:rPr>
          <w:rFonts w:hint="eastAsia" w:ascii="宋体" w:hAnsi="宋体"/>
          <w:szCs w:val="21"/>
        </w:rPr>
        <w:t>权利</w:t>
      </w:r>
    </w:p>
    <w:p>
      <w:pPr>
        <w:spacing w:line="360" w:lineRule="auto"/>
        <w:rPr>
          <w:rFonts w:ascii="宋体" w:hAnsi="宋体"/>
          <w:szCs w:val="21"/>
        </w:rPr>
      </w:pPr>
      <w:r>
        <w:rPr>
          <w:rFonts w:hint="eastAsia" w:ascii="宋体" w:hAnsi="宋体"/>
          <w:szCs w:val="21"/>
        </w:rPr>
        <w:t>6.1.1有权要求甲方提供维护保养所需的工作环境及相关资料；</w:t>
      </w:r>
    </w:p>
    <w:p>
      <w:pPr>
        <w:spacing w:line="360" w:lineRule="auto"/>
        <w:rPr>
          <w:rFonts w:ascii="宋体" w:hAnsi="宋体"/>
          <w:szCs w:val="21"/>
        </w:rPr>
      </w:pPr>
      <w:r>
        <w:rPr>
          <w:rFonts w:hint="eastAsia" w:ascii="宋体" w:hAnsi="宋体"/>
          <w:szCs w:val="21"/>
        </w:rPr>
        <w:t>6.1.2有权拒绝甲方提出的影响电梯安全运行的要求。</w:t>
      </w:r>
    </w:p>
    <w:p>
      <w:pPr>
        <w:spacing w:line="360" w:lineRule="auto"/>
        <w:rPr>
          <w:rFonts w:ascii="宋体" w:hAnsi="宋体"/>
          <w:szCs w:val="21"/>
        </w:rPr>
      </w:pPr>
      <w:r>
        <w:rPr>
          <w:rFonts w:hint="eastAsia" w:ascii="宋体" w:hAnsi="宋体"/>
          <w:szCs w:val="21"/>
        </w:rPr>
        <w:t>6.2义务</w:t>
      </w:r>
    </w:p>
    <w:p>
      <w:pPr>
        <w:spacing w:line="360" w:lineRule="auto"/>
        <w:ind w:right="-88" w:rightChars="-42"/>
        <w:rPr>
          <w:rFonts w:ascii="宋体" w:hAnsi="宋体" w:cs="宋体"/>
          <w:kern w:val="0"/>
          <w:szCs w:val="21"/>
        </w:rPr>
      </w:pPr>
      <w:r>
        <w:rPr>
          <w:rFonts w:hint="eastAsia" w:ascii="宋体" w:hAnsi="宋体"/>
          <w:szCs w:val="21"/>
        </w:rPr>
        <w:t>6.2.1</w:t>
      </w:r>
      <w:r>
        <w:rPr>
          <w:rFonts w:hint="eastAsia" w:ascii="宋体" w:hAnsi="宋体" w:cs="宋体"/>
          <w:kern w:val="0"/>
          <w:szCs w:val="21"/>
        </w:rPr>
        <w:t>应当具备特种设备安全监督管理部门核发《特种设备安装改造维修许可证》；</w:t>
      </w:r>
    </w:p>
    <w:p>
      <w:pPr>
        <w:spacing w:line="360" w:lineRule="auto"/>
        <w:rPr>
          <w:rFonts w:ascii="宋体" w:hAnsi="宋体" w:cs="宋体"/>
          <w:kern w:val="0"/>
          <w:szCs w:val="21"/>
        </w:rPr>
      </w:pPr>
      <w:r>
        <w:rPr>
          <w:rFonts w:hint="eastAsia" w:ascii="宋体" w:hAnsi="宋体" w:cs="宋体"/>
          <w:kern w:val="0"/>
          <w:szCs w:val="21"/>
        </w:rPr>
        <w:t>6.2.2按合同第一条日常维护保养项目（内容）和要求对电梯进行维护保养，并对应建立维护保养和故障记录；</w:t>
      </w:r>
    </w:p>
    <w:p>
      <w:pPr>
        <w:spacing w:line="360" w:lineRule="auto"/>
        <w:ind w:right="-88" w:rightChars="-42"/>
        <w:rPr>
          <w:rFonts w:ascii="宋体" w:hAnsi="宋体"/>
          <w:szCs w:val="21"/>
        </w:rPr>
      </w:pPr>
      <w:r>
        <w:rPr>
          <w:rFonts w:hint="eastAsia" w:ascii="宋体" w:hAnsi="宋体"/>
          <w:szCs w:val="21"/>
        </w:rPr>
        <w:t>6.2.3在接到甲方紧急召修后（24小时服务热线400-826-9998），以最快速度及时派员赶赴现场排除故障；接到电梯困人故障报告后，维保人员及时抵达所维保电梯所在地实施救援，直辖市或者设区的市抵达时间不超过30分钟，其他地区一般不超过1小时。</w:t>
      </w:r>
    </w:p>
    <w:p>
      <w:pPr>
        <w:spacing w:line="360" w:lineRule="auto"/>
        <w:ind w:right="-88" w:rightChars="-42"/>
        <w:rPr>
          <w:rFonts w:ascii="宋体" w:hAnsi="宋体"/>
          <w:szCs w:val="21"/>
        </w:rPr>
      </w:pPr>
      <w:r>
        <w:rPr>
          <w:rFonts w:hint="eastAsia" w:ascii="宋体" w:hAnsi="宋体"/>
          <w:szCs w:val="21"/>
        </w:rPr>
        <w:t>6.2.4工作人员必须持有</w:t>
      </w:r>
      <w:r>
        <w:rPr>
          <w:rFonts w:hint="eastAsia" w:ascii="宋体" w:hAnsi="宋体" w:cs="宋体"/>
          <w:kern w:val="0"/>
          <w:szCs w:val="21"/>
        </w:rPr>
        <w:t>《特种设备作业人员证》，并</w:t>
      </w:r>
      <w:r>
        <w:rPr>
          <w:rFonts w:hint="eastAsia" w:ascii="宋体" w:hAnsi="宋体"/>
          <w:szCs w:val="21"/>
        </w:rPr>
        <w:t>购买人身意外保险；</w:t>
      </w:r>
    </w:p>
    <w:p>
      <w:pPr>
        <w:spacing w:line="360" w:lineRule="auto"/>
        <w:rPr>
          <w:rFonts w:ascii="宋体" w:hAnsi="宋体" w:cs="宋体"/>
          <w:kern w:val="0"/>
          <w:szCs w:val="21"/>
        </w:rPr>
      </w:pPr>
      <w:r>
        <w:rPr>
          <w:rFonts w:hint="eastAsia" w:ascii="宋体" w:hAnsi="宋体" w:cs="宋体"/>
          <w:kern w:val="0"/>
          <w:szCs w:val="21"/>
        </w:rPr>
        <w:t>6.2.5</w:t>
      </w:r>
      <w:r>
        <w:rPr>
          <w:rFonts w:hint="eastAsia" w:ascii="宋体" w:hAnsi="宋体"/>
          <w:szCs w:val="21"/>
        </w:rPr>
        <w:t>自行配备工作所需的工具及设备，工作时设置现场安全警示标志，</w:t>
      </w:r>
      <w:r>
        <w:rPr>
          <w:rFonts w:hint="eastAsia" w:ascii="宋体" w:hAnsi="宋体" w:cs="宋体"/>
          <w:kern w:val="0"/>
          <w:szCs w:val="21"/>
        </w:rPr>
        <w:t>落实作业现场安全防护措施，保证作业安全；</w:t>
      </w:r>
    </w:p>
    <w:p>
      <w:pPr>
        <w:spacing w:line="360" w:lineRule="auto"/>
        <w:ind w:right="-88" w:rightChars="-42"/>
        <w:rPr>
          <w:rFonts w:ascii="宋体" w:hAnsi="宋体"/>
          <w:szCs w:val="21"/>
        </w:rPr>
      </w:pPr>
      <w:r>
        <w:rPr>
          <w:rFonts w:hint="eastAsia" w:ascii="宋体" w:hAnsi="宋体" w:cs="宋体"/>
          <w:kern w:val="0"/>
          <w:szCs w:val="21"/>
        </w:rPr>
        <w:t>6.2.6</w:t>
      </w:r>
      <w:r>
        <w:rPr>
          <w:rFonts w:hint="eastAsia" w:ascii="宋体" w:hAnsi="宋体"/>
          <w:szCs w:val="21"/>
        </w:rPr>
        <w:t>随时听取甲方的反馈，对不正常的运行状况，做认真分析及纠正；</w:t>
      </w:r>
      <w:r>
        <w:rPr>
          <w:rFonts w:hint="eastAsia" w:ascii="宋体" w:hAnsi="宋体" w:cs="宋体"/>
          <w:kern w:val="0"/>
          <w:szCs w:val="21"/>
        </w:rPr>
        <w:t>配合</w:t>
      </w:r>
      <w:r>
        <w:rPr>
          <w:rFonts w:hint="eastAsia"/>
        </w:rPr>
        <w:t>特种设备安全监督管理部门</w:t>
      </w:r>
      <w:r>
        <w:rPr>
          <w:rFonts w:hint="eastAsia" w:ascii="宋体" w:hAnsi="宋体" w:cs="宋体"/>
          <w:kern w:val="0"/>
          <w:szCs w:val="21"/>
        </w:rPr>
        <w:t>对电梯的年检，</w:t>
      </w:r>
      <w:r>
        <w:rPr>
          <w:rFonts w:hint="eastAsia" w:ascii="宋体" w:hAnsi="宋体"/>
          <w:szCs w:val="21"/>
        </w:rPr>
        <w:t>因维护保养原因导致电梯年检不合格的，由乙方负责整改完成，并承担其复检费用。</w:t>
      </w:r>
    </w:p>
    <w:p>
      <w:pPr>
        <w:spacing w:line="360" w:lineRule="auto"/>
        <w:ind w:right="-88" w:rightChars="-42"/>
        <w:rPr>
          <w:rFonts w:ascii="宋体" w:hAnsi="宋体"/>
          <w:szCs w:val="21"/>
        </w:rPr>
      </w:pPr>
      <w:r>
        <w:rPr>
          <w:rFonts w:hint="eastAsia" w:ascii="宋体" w:hAnsi="宋体"/>
          <w:szCs w:val="21"/>
        </w:rPr>
        <w:t xml:space="preserve">6.2.7 </w:t>
      </w:r>
      <w:r>
        <w:rPr>
          <w:rFonts w:hint="eastAsia" w:ascii="宋体"/>
        </w:rPr>
        <w:t>因甲方未及时处理乙方提出的合理建议所产生的事故及损失，乙方不承担责任。</w:t>
      </w:r>
    </w:p>
    <w:p>
      <w:pPr>
        <w:numPr>
          <w:ilvl w:val="0"/>
          <w:numId w:val="0"/>
        </w:numPr>
        <w:rPr>
          <w:rFonts w:hint="eastAsia"/>
          <w:lang w:val="en-US" w:eastAsia="zh-CN"/>
        </w:rPr>
      </w:pPr>
    </w:p>
    <w:p>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ËÎÌå">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Y2RhNzRhYjIyMmU5M2ZkMWIyNmM1NWJiYmNiMWYifQ=="/>
  </w:docVars>
  <w:rsids>
    <w:rsidRoot w:val="00000000"/>
    <w:rsid w:val="23960BCE"/>
    <w:rsid w:val="400E289E"/>
    <w:rsid w:val="42401FC8"/>
    <w:rsid w:val="55165B31"/>
    <w:rsid w:val="56A7754F"/>
    <w:rsid w:val="74762995"/>
    <w:rsid w:val="7B5C6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tabs>
        <w:tab w:val="left" w:pos="600"/>
        <w:tab w:val="left" w:pos="840"/>
      </w:tabs>
      <w:ind w:firstLine="420" w:firstLineChars="100"/>
    </w:pPr>
  </w:style>
  <w:style w:type="paragraph" w:styleId="6">
    <w:name w:val="List Paragraph"/>
    <w:basedOn w:val="1"/>
    <w:qFormat/>
    <w:uiPriority w:val="34"/>
    <w:pPr>
      <w:overflowPunct/>
      <w:autoSpaceDE/>
      <w:autoSpaceDN/>
      <w:adjustRightInd/>
      <w:ind w:left="720"/>
      <w:textAlignment w:val="auto"/>
    </w:pPr>
    <w:rPr>
      <w:rFonts w:ascii="Calibri" w:hAnsi="Calibri" w:cs="Calibri"/>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2610</Words>
  <Characters>2851</Characters>
  <Lines>0</Lines>
  <Paragraphs>0</Paragraphs>
  <TotalTime>2</TotalTime>
  <ScaleCrop>false</ScaleCrop>
  <LinksUpToDate>false</LinksUpToDate>
  <CharactersWithSpaces>3163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2022-12-16T07:34:00Z</dcterms:created>
  <dc:creator>HDS</dc:creator>
  <cp:lastModifiedBy>南念</cp:lastModifiedBy>
  <dcterms:modified xsi:type="dcterms:W3CDTF">2023-03-14T08:16:07Z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8524E3384C1542B29E71BF35903C5035</vt:lpwstr>
  </property>
</Properties>
</file>