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11352"/>
      <w:bookmarkStart w:id="1" w:name="_Toc81589991"/>
      <w:r>
        <w:rPr>
          <w:rFonts w:hint="eastAsia" w:ascii="微软雅黑" w:hAnsi="微软雅黑" w:eastAsia="微软雅黑" w:cs="微软雅黑"/>
          <w:sz w:val="28"/>
          <w:szCs w:val="28"/>
        </w:rPr>
        <w:t>初始审查申请表</w:t>
      </w:r>
      <w:bookmarkEnd w:id="0"/>
      <w:bookmarkEnd w:id="1"/>
    </w:p>
    <w:p>
      <w:pPr>
        <w:spacing w:after="120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A项目基本信息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84"/>
        <w:gridCol w:w="360"/>
        <w:gridCol w:w="2050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□药物注册临床试验                  □医疗器械注册临床试验  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产品种类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○中药、天然药物（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类）   ○化学药品（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类）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○生物制品（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类）        ○放射性药物  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诊断药品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     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□医疗器械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○一类          ○二类          ○三类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○植入          ○非植入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○一类          ○二类          ○三类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○Ⅰ期   ○Ⅱ期   ○Ⅲ期   ○Ⅳ期  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申报注册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○上市后再评价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申报注册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是否多中心研究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□国际多中心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      □国内多中心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□单中心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方案设计类型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□干预性研究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□观察性研究（○回顾性研究  ○前瞻性研究）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资金来源于</w:t>
            </w:r>
          </w:p>
        </w:tc>
        <w:tc>
          <w:tcPr>
            <w:tcW w:w="76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□企业    □政府    □学术团体    □本单位    □其它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研究总例数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本中心例数</w:t>
            </w:r>
          </w:p>
        </w:tc>
        <w:tc>
          <w:tcPr>
            <w:tcW w:w="320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B 申办方和CRO信息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328"/>
        <w:gridCol w:w="1965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60" w:type="dxa"/>
            <w:gridSpan w:val="3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申办方指定联系人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CRO公司</w:t>
            </w:r>
          </w:p>
        </w:tc>
        <w:tc>
          <w:tcPr>
            <w:tcW w:w="7460" w:type="dxa"/>
            <w:gridSpan w:val="3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监查员姓名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C 研究者信息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8"/>
        <w:gridCol w:w="1339"/>
        <w:gridCol w:w="2709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姓名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最近一次GCP培训时间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职责分工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9" w:type="dxa"/>
            <w:gridSpan w:val="6"/>
          </w:tcPr>
          <w:p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药品/器械管理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科室管理</w:t>
            </w:r>
            <w:bookmarkStart w:id="2" w:name="_GoBack"/>
            <w:bookmarkEnd w:id="2"/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中心药房管理  如是科室管理，请提供相关人员资质材料。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gridSpan w:val="3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主要职责及代码</w:t>
            </w:r>
          </w:p>
        </w:tc>
        <w:tc>
          <w:tcPr>
            <w:tcW w:w="8300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知情同意；2、受试者入选/排除标准判断；3、原始记录填写；4、CRF填写；5、药物/器械管理；6、药物/器械分装及发放；7、严重不良事件报告；8、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资料管理；9、质量控制；10、其它（请描述）</w:t>
            </w:r>
          </w:p>
          <w:p>
            <w:pPr>
              <w:jc w:val="left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注意：（1）写入初审申请表中的研究者均应有GCP培训证书且培训时间在5年内。（2）1-8各项指责代码都应有分工。（3）药物/器械管理应有专人负责，不要研究医生兼任。</w:t>
            </w: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 xml:space="preserve">D </w:t>
      </w:r>
      <w:r>
        <w:rPr>
          <w:rFonts w:hint="eastAsia" w:eastAsia="仿宋" w:cs="仿宋"/>
          <w:b/>
          <w:bCs/>
          <w:color w:val="000000"/>
          <w:sz w:val="24"/>
          <w:szCs w:val="24"/>
          <w:lang w:eastAsia="zh-CN"/>
        </w:rPr>
        <w:t>医学</w:t>
      </w:r>
      <w:r>
        <w:rPr>
          <w:rFonts w:hint="eastAsia" w:eastAsia="仿宋" w:cs="仿宋"/>
          <w:b/>
          <w:bCs/>
          <w:color w:val="000000"/>
          <w:sz w:val="24"/>
          <w:szCs w:val="24"/>
        </w:rPr>
        <w:t>伦理委员会形式审查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693"/>
        <w:gridCol w:w="241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641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641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Theme="minorEastAsia" w:hAnsiTheme="minorEastAsia" w:eastAsiaTheme="minorEastAsia" w:cstheme="minorEastAsia"/>
        <w:sz w:val="21"/>
        <w:szCs w:val="21"/>
      </w:rPr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en-US" w:eastAsia="zh-CN"/>
      </w:rPr>
      <w:t xml:space="preserve">        温州医科大学附属第二医院 温州医科大学附属育英儿童医院医学伦理委员会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AF/SQ-01-3.0</w:t>
    </w:r>
  </w:p>
  <w:p>
    <w:pPr>
      <w:pStyle w:val="4"/>
      <w:pBdr>
        <w:bottom w:val="none" w:color="auto" w:sz="0" w:space="1"/>
      </w:pBdr>
      <w:jc w:val="righ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8AB3D"/>
    <w:multiLevelType w:val="singleLevel"/>
    <w:tmpl w:val="76D8AB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105837"/>
    <w:rsid w:val="00105837"/>
    <w:rsid w:val="00527000"/>
    <w:rsid w:val="007C5781"/>
    <w:rsid w:val="00821189"/>
    <w:rsid w:val="0085659E"/>
    <w:rsid w:val="00D37751"/>
    <w:rsid w:val="0DBC0BBA"/>
    <w:rsid w:val="257F481E"/>
    <w:rsid w:val="3B404CE0"/>
    <w:rsid w:val="40052DF1"/>
    <w:rsid w:val="558B6A75"/>
    <w:rsid w:val="5FEE5723"/>
    <w:rsid w:val="6D653796"/>
    <w:rsid w:val="6FD41321"/>
    <w:rsid w:val="7E2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0">
    <w:name w:val="页脚 字符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601</Characters>
  <Lines>5</Lines>
  <Paragraphs>1</Paragraphs>
  <TotalTime>0</TotalTime>
  <ScaleCrop>false</ScaleCrop>
  <LinksUpToDate>false</LinksUpToDate>
  <CharactersWithSpaces>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2022-06-02T07:41:00Z</dcterms:created>
  <dc:creator>jiang huinan</dc:creator>
  <cp:lastModifiedBy>yh02</cp:lastModifiedBy>
  <cp:lastPrinted>2022-06-29T05:48:00Z</cp:lastPrinted>
  <dcterms:modified xsi:type="dcterms:W3CDTF">2023-01-28T08:04:39Z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C7B41AB375254698AEAF564C94575D98</vt:lpwstr>
  </property>
</Properties>
</file>