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暂停研究再启动申请表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417"/>
        <w:gridCol w:w="2409"/>
        <w:gridCol w:w="240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（注明版本号与日期）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申请再启动情况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0" w:hanging="42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申请再启动理由</w:t>
            </w: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0" w:hanging="42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其它需说明的重要内容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</w:t>
    </w:r>
    <w:r>
      <w:rPr>
        <w:rFonts w:hint="eastAsia"/>
        <w:lang w:val="en-US" w:eastAsia="zh-CN"/>
      </w:rPr>
      <w:t>AF/SQ-14-3.0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F4601D"/>
    <w:rsid w:val="00182D23"/>
    <w:rsid w:val="007C5781"/>
    <w:rsid w:val="007F587E"/>
    <w:rsid w:val="00BE394C"/>
    <w:rsid w:val="00C81EEB"/>
    <w:rsid w:val="00CD4B78"/>
    <w:rsid w:val="00DB1F64"/>
    <w:rsid w:val="00F4601D"/>
    <w:rsid w:val="3CCD5447"/>
    <w:rsid w:val="55866AFF"/>
    <w:rsid w:val="6F9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1</TotalTime>
  <ScaleCrop>false</ScaleCrop>
  <LinksUpToDate>false</LinksUpToDate>
  <CharactersWithSpaces>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kjk</cp:lastModifiedBy>
  <cp:lastPrinted>2022-06-29T06:25:00Z</cp:lastPrinted>
  <dcterms:modified xsi:type="dcterms:W3CDTF">2022-06-30T06:52:15Z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866B0E9AD2AD47939ABEF26381FA9A38</vt:lpwstr>
  </property>
</Properties>
</file>