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b/>
          <w:bCs/>
          <w:sz w:val="32"/>
          <w:szCs w:val="36"/>
        </w:rPr>
        <w:t>临床试验合同</w:t>
      </w:r>
      <w:r>
        <w:rPr>
          <w:rFonts w:hint="eastAsia"/>
          <w:b/>
          <w:bCs/>
          <w:sz w:val="32"/>
          <w:szCs w:val="36"/>
          <w:lang w:val="en-US" w:eastAsia="zh-CN"/>
        </w:rPr>
        <w:t>审核</w:t>
      </w:r>
      <w:bookmarkStart w:id="0" w:name="_GoBack"/>
      <w:bookmarkEnd w:id="0"/>
      <w:r>
        <w:rPr>
          <w:rFonts w:hint="eastAsia"/>
          <w:b/>
          <w:bCs/>
          <w:sz w:val="32"/>
          <w:szCs w:val="36"/>
        </w:rPr>
        <w:t>申请表</w:t>
      </w:r>
    </w:p>
    <w:p>
      <w:pPr>
        <w:spacing w:line="360" w:lineRule="auto"/>
        <w:rPr>
          <w:b/>
          <w:bCs/>
        </w:rPr>
      </w:pPr>
      <w:r>
        <w:rPr>
          <w:rFonts w:hint="eastAsia"/>
          <w:b/>
          <w:bCs/>
        </w:rPr>
        <w:t>为加快合同审查流程，请在拟定合同后，在本表中填写对应条款所在合同的页码；若无法在合同中体现对应条款，请在备注栏注明原因。</w:t>
      </w:r>
    </w:p>
    <w:p>
      <w:pPr>
        <w:spacing w:line="360" w:lineRule="auto"/>
        <w:rPr>
          <w:b/>
          <w:bCs/>
        </w:rPr>
      </w:pPr>
      <w:r>
        <w:rPr>
          <w:rFonts w:hint="eastAsia"/>
          <w:b/>
          <w:bCs/>
        </w:rPr>
        <w:t>注：下表甲方均指代申办方，如涉及到CRO公司作为合同签署主体，需签署三方协议或CRO公司需另外提供申办方委托其承担的责任和义务范畴。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667"/>
        <w:gridCol w:w="263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976" w:type="dxa"/>
          </w:tcPr>
          <w:p>
            <w:pPr>
              <w:spacing w:line="400" w:lineRule="exact"/>
              <w:jc w:val="center"/>
              <w:rPr>
                <w:b/>
                <w:bCs/>
              </w:rPr>
            </w:pPr>
          </w:p>
        </w:tc>
        <w:tc>
          <w:tcPr>
            <w:tcW w:w="8667" w:type="dxa"/>
          </w:tcPr>
          <w:p>
            <w:pPr>
              <w:spacing w:line="400" w:lineRule="exact"/>
              <w:jc w:val="center"/>
              <w:rPr>
                <w:b/>
                <w:bCs/>
              </w:rPr>
            </w:pPr>
            <w:r>
              <w:rPr>
                <w:rFonts w:hint="eastAsia"/>
                <w:b/>
                <w:bCs/>
              </w:rPr>
              <w:t>必要合同条款（或类似表达方式）</w:t>
            </w:r>
          </w:p>
        </w:tc>
        <w:tc>
          <w:tcPr>
            <w:tcW w:w="2633" w:type="dxa"/>
          </w:tcPr>
          <w:p>
            <w:pPr>
              <w:spacing w:line="400" w:lineRule="exact"/>
              <w:jc w:val="center"/>
              <w:rPr>
                <w:b/>
                <w:bCs/>
              </w:rPr>
            </w:pPr>
            <w:r>
              <w:rPr>
                <w:rFonts w:hint="eastAsia"/>
                <w:b/>
                <w:bCs/>
              </w:rPr>
              <w:t>所在页码</w:t>
            </w:r>
          </w:p>
        </w:tc>
        <w:tc>
          <w:tcPr>
            <w:tcW w:w="2401" w:type="dxa"/>
          </w:tcPr>
          <w:p>
            <w:pPr>
              <w:spacing w:line="400" w:lineRule="exact"/>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976" w:type="dxa"/>
          </w:tcPr>
          <w:p>
            <w:pPr>
              <w:spacing w:line="400" w:lineRule="exact"/>
              <w:jc w:val="center"/>
            </w:pPr>
            <w:r>
              <w:rPr>
                <w:rFonts w:hint="eastAsia"/>
              </w:rPr>
              <w:t>1</w:t>
            </w:r>
          </w:p>
        </w:tc>
        <w:tc>
          <w:tcPr>
            <w:tcW w:w="8667" w:type="dxa"/>
          </w:tcPr>
          <w:p>
            <w:pPr>
              <w:spacing w:line="400" w:lineRule="exact"/>
            </w:pPr>
            <w:r>
              <w:rPr>
                <w:rFonts w:hint="eastAsia"/>
              </w:rPr>
              <w:t>甲乙双方在</w:t>
            </w:r>
            <w:r>
              <w:rPr>
                <w:rFonts w:hint="eastAsia"/>
                <w:u w:val="single"/>
              </w:rPr>
              <w:t>临床试验的实施过程中遵守《药物临床试验质量管理规范》/《医疗器械临床试验质量管理规范》及相关的临床试验的法律法规</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76" w:type="dxa"/>
          </w:tcPr>
          <w:p>
            <w:pPr>
              <w:spacing w:line="400" w:lineRule="exact"/>
              <w:jc w:val="center"/>
            </w:pPr>
            <w:r>
              <w:rPr>
                <w:rFonts w:hint="eastAsia"/>
              </w:rPr>
              <w:t>2</w:t>
            </w:r>
          </w:p>
        </w:tc>
        <w:tc>
          <w:tcPr>
            <w:tcW w:w="8667" w:type="dxa"/>
          </w:tcPr>
          <w:p>
            <w:pPr>
              <w:spacing w:line="400" w:lineRule="exact"/>
              <w:rPr>
                <w:u w:val="single"/>
              </w:rPr>
            </w:pPr>
            <w:r>
              <w:rPr>
                <w:rFonts w:hint="eastAsia"/>
              </w:rPr>
              <w:t>甲乙双方在临床试验的实施过程中</w:t>
            </w:r>
            <w:r>
              <w:rPr>
                <w:rFonts w:hint="eastAsia"/>
                <w:u w:val="single"/>
              </w:rPr>
              <w:t>执行经过申办者和研究者协商确定的、伦理委员会同意的试验方案</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76" w:type="dxa"/>
          </w:tcPr>
          <w:p>
            <w:pPr>
              <w:spacing w:line="400" w:lineRule="exact"/>
              <w:jc w:val="center"/>
            </w:pPr>
            <w:r>
              <w:rPr>
                <w:rFonts w:hint="eastAsia"/>
              </w:rPr>
              <w:t>3</w:t>
            </w:r>
          </w:p>
        </w:tc>
        <w:tc>
          <w:tcPr>
            <w:tcW w:w="8667" w:type="dxa"/>
          </w:tcPr>
          <w:p>
            <w:pPr>
              <w:spacing w:line="400" w:lineRule="exact"/>
              <w:rPr>
                <w:u w:val="single"/>
              </w:rPr>
            </w:pPr>
            <w:r>
              <w:rPr>
                <w:rFonts w:hint="eastAsia"/>
                <w:u w:val="single"/>
              </w:rPr>
              <w:t>明确甲乙双方责任。</w:t>
            </w:r>
          </w:p>
          <w:p>
            <w:pPr>
              <w:numPr>
                <w:ilvl w:val="0"/>
                <w:numId w:val="1"/>
              </w:numPr>
              <w:spacing w:line="400" w:lineRule="exact"/>
            </w:pPr>
            <w:r>
              <w:rPr>
                <w:rFonts w:hint="eastAsia"/>
              </w:rPr>
              <w:t>甲方是临床试验质量保证责任方，</w:t>
            </w:r>
            <w:r>
              <w:t>应当建立临床试验的质量管理体系</w:t>
            </w:r>
            <w:r>
              <w:rPr>
                <w:rFonts w:hint="eastAsia"/>
              </w:rPr>
              <w:t>，基于风险进行质量管理。</w:t>
            </w:r>
          </w:p>
          <w:p>
            <w:pPr>
              <w:numPr>
                <w:ilvl w:val="0"/>
                <w:numId w:val="1"/>
              </w:numPr>
              <w:spacing w:line="400" w:lineRule="exact"/>
            </w:pPr>
            <w:r>
              <w:rPr>
                <w:rFonts w:hint="eastAsia"/>
              </w:rPr>
              <w:t>乙方是临床试验实施方，严格遵守试验方案、有关医疗和伦理法规和准则，负责做出与临床试验有关的医学决策。</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76" w:type="dxa"/>
          </w:tcPr>
          <w:p>
            <w:pPr>
              <w:spacing w:line="400" w:lineRule="exact"/>
              <w:jc w:val="center"/>
            </w:pPr>
            <w:r>
              <w:rPr>
                <w:rFonts w:hint="eastAsia"/>
              </w:rPr>
              <w:t>4</w:t>
            </w:r>
          </w:p>
        </w:tc>
        <w:tc>
          <w:tcPr>
            <w:tcW w:w="8667" w:type="dxa"/>
          </w:tcPr>
          <w:p>
            <w:pPr>
              <w:spacing w:line="400" w:lineRule="exact"/>
            </w:pPr>
            <w:r>
              <w:rPr>
                <w:rFonts w:hint="eastAsia"/>
                <w:u w:val="single"/>
              </w:rPr>
              <w:t>说明干预性措施，如药物/器械的提供方式和要求</w:t>
            </w:r>
            <w:r>
              <w:rPr>
                <w:rFonts w:hint="eastAsia"/>
              </w:rPr>
              <w:t>，如甲方提供试验相关的文件、药物、设备、耗材及研究经费等；对试验用药物进行适当的包装与标签，并符合临床试验的设计需要；提供的试验药物数量、剂型和规格等符合方案规定并满足临床试验实际需求</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76" w:type="dxa"/>
          </w:tcPr>
          <w:p>
            <w:pPr>
              <w:spacing w:line="400" w:lineRule="exact"/>
              <w:jc w:val="center"/>
            </w:pPr>
            <w:r>
              <w:rPr>
                <w:rFonts w:hint="eastAsia"/>
              </w:rPr>
              <w:t>5</w:t>
            </w:r>
          </w:p>
        </w:tc>
        <w:tc>
          <w:tcPr>
            <w:tcW w:w="8667" w:type="dxa"/>
          </w:tcPr>
          <w:p>
            <w:pPr>
              <w:spacing w:line="400" w:lineRule="exact"/>
            </w:pPr>
            <w:r>
              <w:rPr>
                <w:rFonts w:hint="eastAsia"/>
                <w:u w:val="single"/>
              </w:rPr>
              <w:t>遵守数据记录和报告程序</w:t>
            </w:r>
            <w:r>
              <w:rPr>
                <w:rFonts w:hint="eastAsia"/>
              </w:rPr>
              <w:t>，如乙方研究者保证将数据真实、准确、完整、及时、合法地载入病历和病例报告表。研究者在收到甲方的数据处理组织对病例报告表的询问表后，应及时提供反馈信息。</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6" w:type="dxa"/>
          </w:tcPr>
          <w:p>
            <w:pPr>
              <w:spacing w:line="400" w:lineRule="exact"/>
              <w:jc w:val="center"/>
            </w:pPr>
            <w:r>
              <w:rPr>
                <w:rFonts w:hint="eastAsia"/>
              </w:rPr>
              <w:t>6</w:t>
            </w:r>
          </w:p>
        </w:tc>
        <w:tc>
          <w:tcPr>
            <w:tcW w:w="8667" w:type="dxa"/>
          </w:tcPr>
          <w:p>
            <w:pPr>
              <w:spacing w:line="400" w:lineRule="exact"/>
            </w:pPr>
            <w:r>
              <w:rPr>
                <w:rFonts w:hint="eastAsia"/>
                <w:u w:val="single"/>
              </w:rPr>
              <w:t>监查、稽查和检查的规定</w:t>
            </w:r>
            <w:r>
              <w:rPr>
                <w:rFonts w:hint="eastAsia"/>
              </w:rPr>
              <w:t>，如甲方是临床试验质量保证责任方，应负责委派合格的监查员，并为乙方所接受，依照监查员的工作任务监查临床试验实施过程和所有试验资料，确保所有试验资料符合相关要求，监查频率应和入组进度相协调。甲方亦可委托第三方公司对临床试验进行稽查。</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6" w:type="dxa"/>
          </w:tcPr>
          <w:p>
            <w:pPr>
              <w:spacing w:line="400" w:lineRule="exact"/>
              <w:jc w:val="center"/>
            </w:pPr>
            <w:r>
              <w:rPr>
                <w:rFonts w:hint="eastAsia"/>
              </w:rPr>
              <w:t>6</w:t>
            </w:r>
          </w:p>
        </w:tc>
        <w:tc>
          <w:tcPr>
            <w:tcW w:w="8667" w:type="dxa"/>
          </w:tcPr>
          <w:p>
            <w:pPr>
              <w:spacing w:line="400" w:lineRule="exact"/>
            </w:pPr>
            <w:r>
              <w:rPr>
                <w:rFonts w:hint="eastAsia"/>
              </w:rPr>
              <w:t>甲方在监查或稽查中若发现可能影响受试者安全或临床试验实施的</w:t>
            </w:r>
            <w:r>
              <w:rPr>
                <w:rFonts w:hint="eastAsia"/>
                <w:u w:val="single"/>
              </w:rPr>
              <w:t>严重或持续方案偏离</w:t>
            </w:r>
            <w:r>
              <w:rPr>
                <w:rFonts w:hint="eastAsia"/>
              </w:rPr>
              <w:t>，应当及时向乙方临床试验机构和伦理委员会报告。</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976" w:type="dxa"/>
          </w:tcPr>
          <w:p>
            <w:pPr>
              <w:spacing w:line="400" w:lineRule="exact"/>
              <w:jc w:val="center"/>
            </w:pPr>
            <w:r>
              <w:rPr>
                <w:rFonts w:hint="eastAsia"/>
              </w:rPr>
              <w:t>7</w:t>
            </w:r>
          </w:p>
        </w:tc>
        <w:tc>
          <w:tcPr>
            <w:tcW w:w="8667" w:type="dxa"/>
          </w:tcPr>
          <w:p>
            <w:pPr>
              <w:spacing w:line="400" w:lineRule="exact"/>
            </w:pPr>
            <w:r>
              <w:rPr>
                <w:rFonts w:hint="eastAsia"/>
                <w:u w:val="single"/>
              </w:rPr>
              <w:t>临床试验相关必备文件的保存及其期限，</w:t>
            </w:r>
            <w:r>
              <w:rPr>
                <w:rFonts w:hint="eastAsia"/>
              </w:rPr>
              <w:t>乙方负责对临床试验的档案资料进行保管，保管期限至试验药物被批准上市后5年（用于申请药品注册的临床试验）或至临床试验终止后5年（未用于申请药品注册的临床试验）或医疗器械临床试验完成或者终止后10年，到期销毁或根据甲方要求进一步延长保存期限。但资料保存地点仅限于乙方临床试验档案室，甲方不得要求运出院外异地保存。</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trPr>
        <w:tc>
          <w:tcPr>
            <w:tcW w:w="976" w:type="dxa"/>
          </w:tcPr>
          <w:p>
            <w:pPr>
              <w:spacing w:line="400" w:lineRule="exact"/>
              <w:jc w:val="center"/>
            </w:pPr>
            <w:r>
              <w:rPr>
                <w:rFonts w:hint="eastAsia"/>
              </w:rPr>
              <w:t>8</w:t>
            </w:r>
          </w:p>
        </w:tc>
        <w:tc>
          <w:tcPr>
            <w:tcW w:w="8667" w:type="dxa"/>
          </w:tcPr>
          <w:p>
            <w:pPr>
              <w:spacing w:line="400" w:lineRule="exact"/>
              <w:rPr>
                <w:u w:val="single"/>
              </w:rPr>
            </w:pPr>
            <w:r>
              <w:rPr>
                <w:rFonts w:hint="eastAsia"/>
                <w:u w:val="single"/>
              </w:rPr>
              <w:t>发表文章、知识产权等的约定</w:t>
            </w:r>
          </w:p>
          <w:p>
            <w:pPr>
              <w:numPr>
                <w:ilvl w:val="0"/>
                <w:numId w:val="1"/>
              </w:numPr>
              <w:spacing w:line="400" w:lineRule="exact"/>
            </w:pPr>
            <w:r>
              <w:rPr>
                <w:rFonts w:hint="eastAsia"/>
              </w:rPr>
              <w:t>甲方对临床试验相关试验数据和试验资料拥有知识所有权</w:t>
            </w:r>
          </w:p>
          <w:p>
            <w:pPr>
              <w:numPr>
                <w:ilvl w:val="0"/>
                <w:numId w:val="1"/>
              </w:numPr>
              <w:spacing w:line="400" w:lineRule="exact"/>
            </w:pPr>
            <w:r>
              <w:rPr>
                <w:rFonts w:hint="eastAsia"/>
              </w:rPr>
              <w:t>甲方应当发表或以其他方式公开本临床试验的结果，包括阴性的、不确定的、以及阳性的结果，以及这些结果所基于的去标识化的数据。</w:t>
            </w:r>
          </w:p>
          <w:p>
            <w:pPr>
              <w:numPr>
                <w:ilvl w:val="0"/>
                <w:numId w:val="1"/>
              </w:numPr>
              <w:spacing w:line="400" w:lineRule="exact"/>
            </w:pPr>
            <w:r>
              <w:rPr>
                <w:rFonts w:hint="eastAsia"/>
              </w:rPr>
              <w:t>甲方在申报本临床试验研究成果时，若引用临床研究资料，乙方应作为协作单位。</w:t>
            </w:r>
          </w:p>
          <w:p>
            <w:pPr>
              <w:numPr>
                <w:ilvl w:val="0"/>
                <w:numId w:val="1"/>
              </w:numPr>
              <w:spacing w:line="400" w:lineRule="exact"/>
            </w:pPr>
            <w:r>
              <w:rPr>
                <w:rFonts w:hint="eastAsia"/>
              </w:rPr>
              <w:t>多中心临床试验，如果甲方或组长单位未发表，乙方可以单中心形式独立发表。</w:t>
            </w:r>
          </w:p>
          <w:p>
            <w:pPr>
              <w:numPr>
                <w:ilvl w:val="0"/>
                <w:numId w:val="1"/>
              </w:numPr>
              <w:spacing w:line="400" w:lineRule="exact"/>
            </w:pPr>
            <w:r>
              <w:rPr>
                <w:rFonts w:hint="eastAsia"/>
              </w:rPr>
              <w:t>乙方在学术会议或刊物上交流临床研究结果时应征得甲方同意。</w:t>
            </w:r>
          </w:p>
          <w:p>
            <w:pPr>
              <w:numPr>
                <w:ilvl w:val="0"/>
                <w:numId w:val="1"/>
              </w:numPr>
              <w:spacing w:line="400" w:lineRule="exact"/>
            </w:pPr>
            <w:r>
              <w:rPr>
                <w:rFonts w:hint="eastAsia"/>
              </w:rPr>
              <w:t>研究结束后如果发现涉及受试者重大健康的问题且具有直接临床意义的信息，申办者应当向临床试验机构和研究者报告。</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976" w:type="dxa"/>
          </w:tcPr>
          <w:p>
            <w:pPr>
              <w:spacing w:line="400" w:lineRule="exact"/>
              <w:jc w:val="center"/>
            </w:pPr>
            <w:r>
              <w:rPr>
                <w:rFonts w:hint="eastAsia"/>
              </w:rPr>
              <w:t>9</w:t>
            </w:r>
          </w:p>
        </w:tc>
        <w:tc>
          <w:tcPr>
            <w:tcW w:w="8667" w:type="dxa"/>
          </w:tcPr>
          <w:p>
            <w:pPr>
              <w:spacing w:line="400" w:lineRule="exact"/>
            </w:pPr>
            <w:r>
              <w:rPr>
                <w:rFonts w:hint="eastAsia"/>
                <w:u w:val="single"/>
              </w:rPr>
              <w:t>对受试者损害赔偿的约定</w:t>
            </w:r>
          </w:p>
          <w:p>
            <w:pPr>
              <w:numPr>
                <w:ilvl w:val="0"/>
                <w:numId w:val="1"/>
              </w:numPr>
              <w:spacing w:line="400" w:lineRule="exact"/>
            </w:pPr>
            <w:r>
              <w:rPr>
                <w:rFonts w:hint="eastAsia"/>
              </w:rPr>
              <w:t>乙方研究者负责做出与临床试验相关的医疗决定，保证受试者在试验期间出现不良事件（AE）和严重不良事件（SAE）时得到适当的治疗。研究者有义务采取必要的措施以保障受试者的安全，并记录在案，发生SAE时应按规定程序上报。</w:t>
            </w:r>
          </w:p>
          <w:p>
            <w:pPr>
              <w:numPr>
                <w:ilvl w:val="0"/>
                <w:numId w:val="1"/>
              </w:numPr>
              <w:spacing w:line="400" w:lineRule="exact"/>
            </w:pPr>
            <w:r>
              <w:rPr>
                <w:rFonts w:hint="eastAsia"/>
              </w:rPr>
              <w:t>如果受试者发生与研究相关的损害，甲方负责承担全部责任，包括医疗费用、经济补偿或者赔偿等。即使甲方购买了保险，也不能豁免申办者承担与试验相关损害的医疗费用和补偿的主体责任，包括向保险公司索赔的责任，向受试者先行赔付的责任，无需受试者提起诉讼。甲方负责为乙方及研究者提供与临床试验相关的法律上与经济上的担保（研究者和临床试验机构自身的过失所致者除外），并与临床试验的风险性质和风险程度相适应，如进入诉讼程序，则由甲方承担案件的律师费、诉讼费等与诉讼相关的费用。</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976" w:type="dxa"/>
          </w:tcPr>
          <w:p>
            <w:pPr>
              <w:spacing w:line="400" w:lineRule="exact"/>
              <w:jc w:val="center"/>
            </w:pPr>
            <w:r>
              <w:rPr>
                <w:rFonts w:hint="eastAsia"/>
              </w:rPr>
              <w:t>10</w:t>
            </w:r>
          </w:p>
        </w:tc>
        <w:tc>
          <w:tcPr>
            <w:tcW w:w="8667" w:type="dxa"/>
          </w:tcPr>
          <w:p>
            <w:pPr>
              <w:spacing w:line="400" w:lineRule="exact"/>
              <w:rPr>
                <w:u w:val="single"/>
              </w:rPr>
            </w:pPr>
            <w:r>
              <w:rPr>
                <w:rFonts w:hint="eastAsia"/>
                <w:u w:val="single"/>
              </w:rPr>
              <w:t>对争议解决方式的约定</w:t>
            </w:r>
          </w:p>
          <w:p>
            <w:pPr>
              <w:numPr>
                <w:ilvl w:val="0"/>
                <w:numId w:val="1"/>
              </w:numPr>
              <w:spacing w:line="400" w:lineRule="exact"/>
            </w:pPr>
            <w:r>
              <w:rPr>
                <w:rFonts w:hint="eastAsia"/>
              </w:rPr>
              <w:t>合同在甲乙双方商定定稿后，在合同签署期间，任何双方如有任何改动必须经另一方同意，如果任何一方私自改动而未经另一方同意，则由改动方负全部责任。</w:t>
            </w:r>
          </w:p>
          <w:p>
            <w:pPr>
              <w:numPr>
                <w:ilvl w:val="0"/>
                <w:numId w:val="1"/>
              </w:numPr>
              <w:spacing w:line="400" w:lineRule="exact"/>
            </w:pPr>
            <w:r>
              <w:rPr>
                <w:rFonts w:hint="eastAsia"/>
              </w:rPr>
              <w:t>若甲方未按本合同规定的时间和金额付款或未按规定的时间提供临床研究用药物及相关设备物资，乙方有权终止合同或将合同规定之完成期限相应顺延。</w:t>
            </w:r>
          </w:p>
          <w:p>
            <w:pPr>
              <w:numPr>
                <w:ilvl w:val="0"/>
                <w:numId w:val="1"/>
              </w:numPr>
              <w:spacing w:line="400" w:lineRule="exact"/>
            </w:pPr>
            <w:r>
              <w:rPr>
                <w:rFonts w:hint="eastAsia"/>
              </w:rPr>
              <w:t>各方需严格遵守本合同约定，一方严重违反或不履行协议，在被告知后合理期限内仍不改正时，守约方可解除本协议。本合同提前终止（包括但不限于申办者因商业理由或安全性原因决定终止项目的情形）的，申办方应负担乙方到合同终止时已发生且不可撤销的费用。</w:t>
            </w:r>
          </w:p>
          <w:p>
            <w:pPr>
              <w:numPr>
                <w:ilvl w:val="0"/>
                <w:numId w:val="1"/>
              </w:numPr>
              <w:spacing w:line="400" w:lineRule="exact"/>
            </w:pPr>
            <w:r>
              <w:rPr>
                <w:rFonts w:hint="eastAsia"/>
              </w:rPr>
              <w:t>就履行本协议各方出现争议时，首先通过协商解决。协商不成，各方均可向原告方所在地人民法院提起诉讼。</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76" w:type="dxa"/>
          </w:tcPr>
          <w:p>
            <w:pPr>
              <w:spacing w:line="400" w:lineRule="exact"/>
              <w:jc w:val="center"/>
            </w:pPr>
            <w:r>
              <w:rPr>
                <w:rFonts w:hint="eastAsia"/>
              </w:rPr>
              <w:t>11</w:t>
            </w:r>
          </w:p>
        </w:tc>
        <w:tc>
          <w:tcPr>
            <w:tcW w:w="8667" w:type="dxa"/>
          </w:tcPr>
          <w:p>
            <w:pPr>
              <w:spacing w:line="400" w:lineRule="exact"/>
              <w:rPr>
                <w:rFonts w:eastAsia="Microsoft YaHei UI"/>
              </w:rPr>
            </w:pPr>
            <w:r>
              <w:rPr>
                <w:rFonts w:hint="eastAsia"/>
                <w:u w:val="single"/>
              </w:rPr>
              <w:t>明确临床试验预算设置及支付计划</w:t>
            </w:r>
            <w:r>
              <w:rPr>
                <w:rFonts w:hint="eastAsia"/>
              </w:rPr>
              <w:t>，要求合同中明确每例受试者的观察费及补助费、机构管理费、档案管理费、药品管理费等。如涉及到与其他科室参与合作，如试验器械需在手术室或DSA管理，需明确劳务费。</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6" w:type="dxa"/>
          </w:tcPr>
          <w:p>
            <w:pPr>
              <w:spacing w:line="400" w:lineRule="exact"/>
              <w:jc w:val="center"/>
            </w:pPr>
            <w:r>
              <w:rPr>
                <w:rFonts w:hint="eastAsia"/>
              </w:rPr>
              <w:t>12</w:t>
            </w:r>
          </w:p>
        </w:tc>
        <w:tc>
          <w:tcPr>
            <w:tcW w:w="8667" w:type="dxa"/>
          </w:tcPr>
          <w:p>
            <w:pPr>
              <w:spacing w:line="400" w:lineRule="exact"/>
            </w:pPr>
            <w:r>
              <w:rPr>
                <w:rFonts w:hint="eastAsia"/>
              </w:rPr>
              <w:t>当合同发生纠纷时，应当适用并遵守</w:t>
            </w:r>
            <w:r>
              <w:rPr>
                <w:rFonts w:hint="eastAsia"/>
                <w:u w:val="single"/>
              </w:rPr>
              <w:t>中国的法律规定</w:t>
            </w:r>
            <w:r>
              <w:rPr>
                <w:rFonts w:hint="eastAsia"/>
              </w:rPr>
              <w:t>；当语言歧义时，应以</w:t>
            </w:r>
            <w:r>
              <w:rPr>
                <w:rFonts w:hint="eastAsia"/>
                <w:u w:val="single"/>
              </w:rPr>
              <w:t>中文释义</w:t>
            </w:r>
            <w:r>
              <w:rPr>
                <w:rFonts w:hint="eastAsia"/>
              </w:rPr>
              <w:t>为准。</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6" w:type="dxa"/>
          </w:tcPr>
          <w:p>
            <w:pPr>
              <w:spacing w:line="400" w:lineRule="exact"/>
              <w:jc w:val="center"/>
            </w:pPr>
            <w:r>
              <w:rPr>
                <w:rFonts w:hint="eastAsia"/>
              </w:rPr>
              <w:t>13</w:t>
            </w:r>
          </w:p>
        </w:tc>
        <w:tc>
          <w:tcPr>
            <w:tcW w:w="8667" w:type="dxa"/>
          </w:tcPr>
          <w:p>
            <w:pPr>
              <w:spacing w:line="400" w:lineRule="exact"/>
              <w:rPr>
                <w:u w:val="single"/>
              </w:rPr>
            </w:pPr>
            <w:r>
              <w:rPr>
                <w:rFonts w:hint="eastAsia"/>
                <w:u w:val="single"/>
              </w:rPr>
              <w:t>明确人遗办的规定</w:t>
            </w:r>
          </w:p>
          <w:p>
            <w:pPr>
              <w:numPr>
                <w:ilvl w:val="0"/>
                <w:numId w:val="1"/>
              </w:numPr>
              <w:spacing w:line="400" w:lineRule="exact"/>
            </w:pPr>
            <w:r>
              <w:rPr>
                <w:rFonts w:hint="eastAsia"/>
              </w:rPr>
              <w:t>甲方负责将政府人类遗传资源管理部门的审查意见传达给乙方研究者和伦理委员会,并严格按照政府人类遗传资源管理部门的许可内容开展相关工作。</w:t>
            </w:r>
          </w:p>
          <w:p>
            <w:pPr>
              <w:numPr>
                <w:ilvl w:val="0"/>
                <w:numId w:val="1"/>
              </w:numPr>
              <w:spacing w:line="400" w:lineRule="exact"/>
            </w:pPr>
            <w:r>
              <w:rPr>
                <w:rFonts w:hint="eastAsia"/>
              </w:rPr>
              <w:t>乙方配合甲方进行人类遗传资源管理行政审批事务，按照政府人类遗传资源管理部门的许可内容开展相关工作。</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6" w:type="dxa"/>
          </w:tcPr>
          <w:p>
            <w:pPr>
              <w:spacing w:line="400" w:lineRule="exact"/>
              <w:jc w:val="center"/>
            </w:pPr>
            <w:r>
              <w:rPr>
                <w:rFonts w:hint="eastAsia"/>
              </w:rPr>
              <w:t>14</w:t>
            </w:r>
          </w:p>
        </w:tc>
        <w:tc>
          <w:tcPr>
            <w:tcW w:w="8667" w:type="dxa"/>
          </w:tcPr>
          <w:p>
            <w:pPr>
              <w:spacing w:line="400" w:lineRule="exact"/>
              <w:rPr>
                <w:u w:val="single"/>
              </w:rPr>
            </w:pPr>
            <w:r>
              <w:rPr>
                <w:rFonts w:hint="eastAsia"/>
                <w:u w:val="single"/>
              </w:rPr>
              <w:t>关于保密的规定</w:t>
            </w:r>
          </w:p>
          <w:p>
            <w:pPr>
              <w:numPr>
                <w:ilvl w:val="0"/>
                <w:numId w:val="1"/>
              </w:numPr>
              <w:spacing w:line="400" w:lineRule="exact"/>
            </w:pPr>
            <w:r>
              <w:rPr>
                <w:rFonts w:hint="eastAsia"/>
              </w:rPr>
              <w:t>未经受试者书面同意，甲、乙双方均不能擅自将受试者的个人信息/标本等用于除本研究以外的其它研究。</w:t>
            </w:r>
          </w:p>
          <w:p>
            <w:pPr>
              <w:numPr>
                <w:ilvl w:val="0"/>
                <w:numId w:val="1"/>
              </w:numPr>
              <w:spacing w:line="400" w:lineRule="exact"/>
            </w:pPr>
            <w:r>
              <w:rPr>
                <w:rFonts w:hint="eastAsia"/>
              </w:rPr>
              <w:t>甲、乙双方工作人员、伦理委员会和药监管理部门查阅受试者的原始记录时，不得违反保密原则和相关法规。</w:t>
            </w:r>
          </w:p>
          <w:p>
            <w:pPr>
              <w:numPr>
                <w:ilvl w:val="0"/>
                <w:numId w:val="1"/>
              </w:numPr>
              <w:spacing w:line="400" w:lineRule="exact"/>
            </w:pPr>
            <w:r>
              <w:rPr>
                <w:rFonts w:hint="eastAsia"/>
              </w:rPr>
              <w:t>甲方在监查、稽查过程中，未经乙方允许，不得擅自对原始研究资料进行拍照、拷贝，必要时应当隐去受试者真实身份的信息。</w:t>
            </w:r>
          </w:p>
          <w:p>
            <w:pPr>
              <w:numPr>
                <w:ilvl w:val="0"/>
                <w:numId w:val="1"/>
              </w:numPr>
              <w:spacing w:line="400" w:lineRule="exact"/>
            </w:pPr>
            <w:r>
              <w:rPr>
                <w:rFonts w:hint="eastAsia"/>
              </w:rPr>
              <w:t>受试者相关身份信息不得公开使用，甲、乙任何一方如果发布临床试验结果，受试者的身份信息应当予以保密。</w:t>
            </w:r>
          </w:p>
        </w:tc>
        <w:tc>
          <w:tcPr>
            <w:tcW w:w="2633" w:type="dxa"/>
          </w:tcPr>
          <w:p>
            <w:pPr>
              <w:spacing w:line="400" w:lineRule="exact"/>
            </w:pPr>
          </w:p>
        </w:tc>
        <w:tc>
          <w:tcPr>
            <w:tcW w:w="2401"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76" w:type="dxa"/>
          </w:tcPr>
          <w:p>
            <w:pPr>
              <w:spacing w:line="400" w:lineRule="exact"/>
              <w:jc w:val="center"/>
              <w:rPr>
                <w:rFonts w:hint="eastAsia"/>
              </w:rPr>
            </w:pPr>
            <w:r>
              <w:rPr>
                <w:rFonts w:hint="eastAsia"/>
              </w:rPr>
              <w:t>1</w:t>
            </w:r>
            <w:r>
              <w:t>5</w:t>
            </w:r>
          </w:p>
        </w:tc>
        <w:tc>
          <w:tcPr>
            <w:tcW w:w="8667" w:type="dxa"/>
          </w:tcPr>
          <w:p>
            <w:pPr>
              <w:spacing w:line="400" w:lineRule="exact"/>
              <w:rPr>
                <w:rFonts w:hint="eastAsia"/>
                <w:u w:val="single"/>
              </w:rPr>
            </w:pPr>
            <w:r>
              <w:rPr>
                <w:rFonts w:hint="eastAsia"/>
                <w:u w:val="single"/>
                <w:lang w:val="en-US" w:eastAsia="zh-CN"/>
              </w:rPr>
              <w:t>关于协议转让的规定：</w:t>
            </w:r>
            <w:r>
              <w:rPr>
                <w:rFonts w:hint="eastAsia"/>
                <w:u w:val="single"/>
              </w:rPr>
              <w:t>甲如果将协议转让第三方，应该征得乙方同意</w:t>
            </w:r>
          </w:p>
        </w:tc>
        <w:tc>
          <w:tcPr>
            <w:tcW w:w="2633" w:type="dxa"/>
          </w:tcPr>
          <w:p>
            <w:pPr>
              <w:spacing w:line="400" w:lineRule="exact"/>
            </w:pPr>
          </w:p>
        </w:tc>
        <w:tc>
          <w:tcPr>
            <w:tcW w:w="2401" w:type="dxa"/>
          </w:tcPr>
          <w:p>
            <w:pPr>
              <w:spacing w:line="400" w:lineRule="exact"/>
            </w:pPr>
          </w:p>
        </w:tc>
      </w:tr>
    </w:tbl>
    <w:p/>
    <w:sectPr>
      <w:head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0" w:usb2="00000016" w:usb3="00000000" w:csb0="0004001F" w:csb1="00000000"/>
  </w:font>
  <w:font w:name="微软雅黑">
    <w:panose1 w:val="020B0503020204020204"/>
    <w:charset w:val="86"/>
    <w:family w:val="auto"/>
    <w:pitch w:val="default"/>
    <w:sig w:usb0="80000287" w:usb1="28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eastAsia="宋体" w:cs="宋体"/>
        <w:i/>
        <w:iCs/>
        <w:sz w:val="22"/>
        <w:szCs w:val="22"/>
        <w:lang w:val="en-US" w:eastAsia="zh-CN"/>
      </w:rPr>
    </w:pPr>
    <w:r>
      <w:rPr>
        <w:rFonts w:hint="eastAsia" w:ascii="宋体" w:hAnsi="宋体" w:eastAsia="宋体" w:cs="宋体"/>
        <w:i/>
        <w:iCs/>
        <w:sz w:val="22"/>
        <w:szCs w:val="22"/>
        <w:lang w:val="en-US" w:eastAsia="zh-CN"/>
      </w:rPr>
      <w:t>编号：00-7-006-04-1.0  日期：2022-04-25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7E7A2"/>
    <w:multiLevelType w:val="singleLevel"/>
    <w:tmpl w:val="BC27E7A2"/>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YzRkYmYxMmEzNjg4MjgzYWFlOWVlNjgwODczMDMifQ=="/>
  </w:docVars>
  <w:rsids>
    <w:rsidRoot w:val="261B7471"/>
    <w:rsid w:val="005D6E0E"/>
    <w:rsid w:val="00A87A44"/>
    <w:rsid w:val="00F01DF8"/>
    <w:rsid w:val="04E91332"/>
    <w:rsid w:val="1D5663A3"/>
    <w:rsid w:val="1EDE2AA8"/>
    <w:rsid w:val="261B7471"/>
    <w:rsid w:val="2AE26253"/>
    <w:rsid w:val="31771AF0"/>
    <w:rsid w:val="364315C9"/>
    <w:rsid w:val="41BD5BB2"/>
    <w:rsid w:val="519F7BA4"/>
    <w:rsid w:val="5E3C7BE9"/>
    <w:rsid w:val="6EE53863"/>
    <w:rsid w:val="7640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I\II\III"/>
    <w:basedOn w:val="2"/>
    <w:next w:val="2"/>
    <w:qFormat/>
    <w:uiPriority w:val="0"/>
    <w:pPr>
      <w:spacing w:before="50" w:beforeLines="50" w:after="50" w:afterLines="50" w:line="500" w:lineRule="exact"/>
    </w:pPr>
    <w:rPr>
      <w:rFonts w:ascii="宋体" w:hAnsi="宋体" w:eastAsia="仿宋_GB2312"/>
      <w:b w:val="0"/>
      <w:sz w:val="30"/>
      <w:szCs w:val="21"/>
    </w:rPr>
  </w:style>
  <w:style w:type="paragraph" w:customStyle="1" w:styleId="13">
    <w:name w:val="内容"/>
    <w:basedOn w:val="1"/>
    <w:qFormat/>
    <w:uiPriority w:val="0"/>
    <w:pPr>
      <w:snapToGrid w:val="0"/>
      <w:spacing w:line="440" w:lineRule="exact"/>
      <w:ind w:firstLine="720" w:firstLineChars="200"/>
      <w:jc w:val="left"/>
    </w:pPr>
    <w:rPr>
      <w:rFonts w:ascii="宋体" w:hAnsi="宋体" w:eastAsia="宋体"/>
      <w:kern w:val="0"/>
      <w:szCs w:val="20"/>
    </w:rPr>
  </w:style>
  <w:style w:type="paragraph" w:customStyle="1" w:styleId="14">
    <w:name w:val="SOP标题"/>
    <w:basedOn w:val="6"/>
    <w:next w:val="2"/>
    <w:qFormat/>
    <w:uiPriority w:val="0"/>
    <w:pPr>
      <w:spacing w:before="50" w:beforeLines="50" w:after="50" w:afterLines="50"/>
    </w:pPr>
    <w:rPr>
      <w:rFonts w:eastAsia="宋体" w:cs="宋体"/>
      <w:kern w:val="20"/>
      <w:szCs w:val="28"/>
    </w:rPr>
  </w:style>
  <w:style w:type="character" w:customStyle="1" w:styleId="15">
    <w:name w:val="页眉 字符"/>
    <w:basedOn w:val="9"/>
    <w:link w:val="5"/>
    <w:qFormat/>
    <w:uiPriority w:val="0"/>
    <w:rPr>
      <w:rFonts w:asciiTheme="minorHAnsi" w:hAnsiTheme="minorHAnsi" w:eastAsiaTheme="minorEastAsia" w:cstheme="minorBidi"/>
      <w:kern w:val="2"/>
      <w:sz w:val="18"/>
      <w:szCs w:val="18"/>
    </w:rPr>
  </w:style>
  <w:style w:type="character" w:customStyle="1" w:styleId="16">
    <w:name w:val="页脚 字符"/>
    <w:basedOn w:val="9"/>
    <w:link w:val="4"/>
    <w:qFormat/>
    <w:uiPriority w:val="0"/>
    <w:rPr>
      <w:rFonts w:asciiTheme="minorHAnsi" w:hAnsiTheme="minorHAnsi" w:eastAsiaTheme="minorEastAsia" w:cstheme="minorBidi"/>
      <w:kern w:val="2"/>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2330</Words>
  <Characters>2348</Characters>
  <Lines>17</Lines>
  <Paragraphs>4</Paragraphs>
  <TotalTime>12</TotalTime>
  <ScaleCrop>false</ScaleCrop>
  <LinksUpToDate>false</LinksUpToDate>
  <CharactersWithSpaces>2348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2022-04-18T07:29:00Z</dcterms:created>
  <dc:creator>zqq</dc:creator>
  <cp:lastModifiedBy>zqq</cp:lastModifiedBy>
  <dcterms:modified xsi:type="dcterms:W3CDTF">2022-06-23T02:51:44Z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D9F82BBB2F2F455980AEA444B55F99E8</vt:lpwstr>
  </property>
  <property fmtid="{D5CDD505-2E9C-101B-9397-08002B2CF9AE}" pid="4" name="commondata">
    <vt:lpwstr>eyJoZGlkIjoiOWNkYzRkYmYxMmEzNjg4MjgzYWFlOWVlNjgwODczMDMifQ==</vt:lpwstr>
  </property>
</Properties>
</file>