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瓯江口院区病区宣传栏询价采购文件</w:t>
      </w:r>
    </w:p>
    <w:p>
      <w:pPr>
        <w:pStyle w:val="14"/>
        <w:numPr>
          <w:ilvl w:val="0"/>
          <w:numId w:val="1"/>
        </w:numPr>
        <w:spacing w:line="360" w:lineRule="auto"/>
        <w:ind w:firstLineChars="0"/>
      </w:pPr>
      <w:r>
        <w:rPr>
          <w:rFonts w:hint="eastAsia"/>
          <w:b/>
        </w:rPr>
        <w:t>项目名称：</w:t>
      </w:r>
      <w:r>
        <w:rPr>
          <w:rFonts w:hint="eastAsia"/>
        </w:rPr>
        <w:t>瓯江口院区病区宣传栏制作</w:t>
      </w:r>
    </w:p>
    <w:p>
      <w:pPr>
        <w:pStyle w:val="14"/>
        <w:numPr>
          <w:ilvl w:val="0"/>
          <w:numId w:val="1"/>
        </w:numPr>
        <w:spacing w:line="360" w:lineRule="auto"/>
        <w:ind w:firstLineChars="0"/>
      </w:pPr>
      <w:r>
        <w:rPr>
          <w:rFonts w:hint="eastAsia"/>
        </w:rPr>
        <w:t>制作数量及预算金额</w:t>
      </w:r>
    </w:p>
    <w:tbl>
      <w:tblPr>
        <w:tblStyle w:val="10"/>
        <w:tblW w:w="8181" w:type="dxa"/>
        <w:tblInd w:w="43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19"/>
        <w:gridCol w:w="1701"/>
        <w:gridCol w:w="2126"/>
        <w:gridCol w:w="28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9" w:type="dxa"/>
            <w:vAlign w:val="center"/>
          </w:tcPr>
          <w:p>
            <w:pPr>
              <w:pStyle w:val="14"/>
              <w:spacing w:line="360" w:lineRule="auto"/>
              <w:ind w:firstLine="0" w:firstLineChars="0"/>
              <w:jc w:val="center"/>
            </w:pPr>
            <w:r>
              <w:rPr>
                <w:rFonts w:hint="eastAsia"/>
              </w:rPr>
              <w:t>项目</w:t>
            </w:r>
          </w:p>
        </w:tc>
        <w:tc>
          <w:tcPr>
            <w:tcW w:w="1701" w:type="dxa"/>
            <w:vAlign w:val="center"/>
          </w:tcPr>
          <w:p>
            <w:pPr>
              <w:pStyle w:val="14"/>
              <w:spacing w:line="360" w:lineRule="auto"/>
              <w:ind w:firstLine="0" w:firstLineChars="0"/>
              <w:jc w:val="center"/>
            </w:pPr>
            <w:r>
              <w:rPr>
                <w:rFonts w:hint="eastAsia"/>
              </w:rPr>
              <w:t>数量</w:t>
            </w:r>
          </w:p>
        </w:tc>
        <w:tc>
          <w:tcPr>
            <w:tcW w:w="2126" w:type="dxa"/>
            <w:vAlign w:val="center"/>
          </w:tcPr>
          <w:p>
            <w:pPr>
              <w:pStyle w:val="14"/>
              <w:spacing w:line="360" w:lineRule="auto"/>
              <w:ind w:firstLine="0" w:firstLineChars="0"/>
              <w:jc w:val="center"/>
            </w:pPr>
            <w:r>
              <w:rPr>
                <w:rFonts w:hint="eastAsia"/>
              </w:rPr>
              <w:t>预算单价</w:t>
            </w:r>
          </w:p>
          <w:p>
            <w:pPr>
              <w:pStyle w:val="14"/>
              <w:spacing w:line="360" w:lineRule="auto"/>
              <w:ind w:firstLine="0" w:firstLineChars="0"/>
              <w:jc w:val="center"/>
            </w:pPr>
            <w:r>
              <w:rPr>
                <w:rFonts w:hint="eastAsia"/>
              </w:rPr>
              <w:t>（人民币）</w:t>
            </w:r>
          </w:p>
        </w:tc>
        <w:tc>
          <w:tcPr>
            <w:tcW w:w="2835" w:type="dxa"/>
            <w:vAlign w:val="center"/>
          </w:tcPr>
          <w:p>
            <w:pPr>
              <w:pStyle w:val="14"/>
              <w:spacing w:line="360" w:lineRule="auto"/>
              <w:ind w:firstLine="0" w:firstLineChars="0"/>
              <w:jc w:val="center"/>
            </w:pPr>
            <w:r>
              <w:rPr>
                <w:rFonts w:hint="eastAsia"/>
              </w:rPr>
              <w:t>预算总额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1" w:hRule="atLeast"/>
        </w:trPr>
        <w:tc>
          <w:tcPr>
            <w:tcW w:w="1519" w:type="dxa"/>
            <w:vAlign w:val="center"/>
          </w:tcPr>
          <w:p>
            <w:pPr>
              <w:pStyle w:val="14"/>
              <w:spacing w:line="360" w:lineRule="auto"/>
              <w:ind w:firstLine="0" w:firstLineChars="0"/>
            </w:pPr>
            <w:r>
              <w:rPr>
                <w:rFonts w:hint="eastAsia"/>
              </w:rPr>
              <w:t>瓯江口院区病区宣传栏</w:t>
            </w:r>
          </w:p>
        </w:tc>
        <w:tc>
          <w:tcPr>
            <w:tcW w:w="1701" w:type="dxa"/>
            <w:vAlign w:val="center"/>
          </w:tcPr>
          <w:p>
            <w:pPr>
              <w:pStyle w:val="14"/>
              <w:spacing w:line="360" w:lineRule="auto"/>
              <w:ind w:firstLine="0" w:firstLineChars="0"/>
              <w:jc w:val="center"/>
            </w:pPr>
            <w:r>
              <w:rPr>
                <w:rFonts w:hint="eastAsia"/>
              </w:rPr>
              <w:t>18</w:t>
            </w:r>
          </w:p>
        </w:tc>
        <w:tc>
          <w:tcPr>
            <w:tcW w:w="2126" w:type="dxa"/>
            <w:vAlign w:val="center"/>
          </w:tcPr>
          <w:p>
            <w:pPr>
              <w:pStyle w:val="14"/>
              <w:spacing w:line="360" w:lineRule="auto"/>
              <w:ind w:firstLine="0" w:firstLineChars="0"/>
              <w:jc w:val="center"/>
            </w:pPr>
            <w:r>
              <w:rPr>
                <w:rFonts w:hint="eastAsia"/>
              </w:rPr>
              <w:t>2200.00</w:t>
            </w:r>
          </w:p>
        </w:tc>
        <w:tc>
          <w:tcPr>
            <w:tcW w:w="2835" w:type="dxa"/>
            <w:vAlign w:val="center"/>
          </w:tcPr>
          <w:p>
            <w:pPr>
              <w:pStyle w:val="14"/>
              <w:spacing w:line="360" w:lineRule="auto"/>
              <w:ind w:firstLine="0" w:firstLineChars="0"/>
              <w:jc w:val="center"/>
            </w:pPr>
            <w:r>
              <w:rPr>
                <w:rFonts w:hint="eastAsia"/>
              </w:rPr>
              <w:t>39600.00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9" w:type="dxa"/>
            <w:vAlign w:val="center"/>
          </w:tcPr>
          <w:p>
            <w:pPr>
              <w:pStyle w:val="14"/>
              <w:spacing w:line="360" w:lineRule="auto"/>
              <w:ind w:firstLine="0" w:firstLineChars="0"/>
            </w:pPr>
            <w:r>
              <w:rPr>
                <w:rFonts w:hint="eastAsia"/>
              </w:rPr>
              <w:t>备 注</w:t>
            </w:r>
          </w:p>
        </w:tc>
        <w:tc>
          <w:tcPr>
            <w:tcW w:w="6662" w:type="dxa"/>
            <w:gridSpan w:val="3"/>
            <w:vAlign w:val="center"/>
          </w:tcPr>
          <w:p>
            <w:pPr>
              <w:pStyle w:val="14"/>
              <w:numPr>
                <w:ilvl w:val="0"/>
                <w:numId w:val="2"/>
              </w:numPr>
              <w:spacing w:line="360" w:lineRule="auto"/>
              <w:ind w:firstLineChars="0"/>
            </w:pPr>
            <w:r>
              <w:rPr>
                <w:rFonts w:hint="eastAsia"/>
              </w:rPr>
              <w:t>具体以实际数量进行结算（按实际制作的宣传栏数量进行结算）</w:t>
            </w:r>
          </w:p>
          <w:p>
            <w:pPr>
              <w:pStyle w:val="14"/>
              <w:numPr>
                <w:ilvl w:val="0"/>
                <w:numId w:val="2"/>
              </w:numPr>
              <w:spacing w:line="360" w:lineRule="auto"/>
              <w:ind w:firstLineChars="0"/>
            </w:pPr>
            <w:r>
              <w:rPr>
                <w:rFonts w:hint="eastAsia"/>
              </w:rPr>
              <w:t>预算单价含制作费、设计费、排版费、安装费、税费等一切费用</w:t>
            </w:r>
          </w:p>
          <w:p>
            <w:pPr>
              <w:pStyle w:val="14"/>
              <w:numPr>
                <w:ilvl w:val="0"/>
                <w:numId w:val="2"/>
              </w:numPr>
              <w:spacing w:line="360" w:lineRule="auto"/>
              <w:ind w:firstLineChars="0"/>
            </w:pPr>
            <w:r>
              <w:rPr>
                <w:rFonts w:hint="eastAsia"/>
              </w:rPr>
              <w:t>设计排版需符合院方要求</w:t>
            </w:r>
          </w:p>
        </w:tc>
      </w:tr>
    </w:tbl>
    <w:p>
      <w:pPr>
        <w:spacing w:line="360" w:lineRule="auto"/>
      </w:pPr>
    </w:p>
    <w:p>
      <w:pPr>
        <w:pStyle w:val="14"/>
        <w:numPr>
          <w:ilvl w:val="0"/>
          <w:numId w:val="1"/>
        </w:numPr>
        <w:spacing w:line="360" w:lineRule="auto"/>
        <w:ind w:firstLineChars="0"/>
      </w:pPr>
      <w:r>
        <w:t>采购需求</w:t>
      </w:r>
    </w:p>
    <w:p>
      <w:pPr>
        <w:pStyle w:val="14"/>
        <w:numPr>
          <w:ilvl w:val="0"/>
          <w:numId w:val="3"/>
        </w:numPr>
        <w:spacing w:line="360" w:lineRule="auto"/>
        <w:ind w:hanging="218" w:firstLineChars="0"/>
      </w:pPr>
      <w:r>
        <w:rPr>
          <w:rFonts w:hint="eastAsia"/>
        </w:rPr>
        <w:t>宣传栏整体尺寸约：1.5米（高）*4.2米（长），长宽误差一般不超过10%范围，具体样式如下</w:t>
      </w:r>
      <w:r>
        <w:rPr>
          <w:rFonts w:hint="eastAsia"/>
          <w:b/>
        </w:rPr>
        <w:t>：</w:t>
      </w:r>
    </w:p>
    <w:p>
      <w:pPr>
        <w:pStyle w:val="14"/>
        <w:spacing w:line="360" w:lineRule="auto"/>
        <w:ind w:firstLine="283" w:firstLineChars="135"/>
        <w:jc w:val="left"/>
      </w:pPr>
      <w:r>
        <w:drawing>
          <wp:inline distT="0" distB="0" distL="0" distR="0">
            <wp:extent cx="5271135" cy="3550920"/>
            <wp:effectExtent l="19050" t="0" r="5497"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srcRect/>
                    <a:stretch>
                      <a:fillRect/>
                    </a:stretch>
                  </pic:blipFill>
                  <pic:spPr>
                    <a:xfrm>
                      <a:off x="0" y="0"/>
                      <a:ext cx="5274310" cy="3552912"/>
                    </a:xfrm>
                    <a:prstGeom prst="rect">
                      <a:avLst/>
                    </a:prstGeom>
                    <a:noFill/>
                    <a:ln w="1">
                      <a:noFill/>
                      <a:miter lim="800000"/>
                      <a:headEnd/>
                      <a:tailEnd type="none" w="med" len="med"/>
                    </a:ln>
                    <a:effectLst/>
                  </pic:spPr>
                </pic:pic>
              </a:graphicData>
            </a:graphic>
          </wp:inline>
        </w:drawing>
      </w:r>
    </w:p>
    <w:p>
      <w:pPr>
        <w:pStyle w:val="14"/>
        <w:spacing w:line="360" w:lineRule="auto"/>
        <w:ind w:left="644" w:firstLine="0" w:firstLineChars="0"/>
        <w:jc w:val="left"/>
      </w:pPr>
    </w:p>
    <w:p>
      <w:pPr>
        <w:pStyle w:val="14"/>
        <w:numPr>
          <w:ilvl w:val="0"/>
          <w:numId w:val="3"/>
        </w:numPr>
        <w:spacing w:line="360" w:lineRule="auto"/>
        <w:ind w:firstLineChars="0"/>
        <w:jc w:val="left"/>
        <w:rPr>
          <w:b/>
        </w:rPr>
      </w:pPr>
      <w:r>
        <w:rPr>
          <w:rFonts w:hint="eastAsia"/>
          <w:b/>
        </w:rPr>
        <w:t>主要栏目组成及参数如下</w:t>
      </w:r>
    </w:p>
    <w:tbl>
      <w:tblPr>
        <w:tblStyle w:val="9"/>
        <w:tblW w:w="8300" w:type="dxa"/>
        <w:tblInd w:w="103" w:type="dxa"/>
        <w:tblLayout w:type="autofit"/>
        <w:tblCellMar>
          <w:top w:w="0" w:type="dxa"/>
          <w:left w:w="108" w:type="dxa"/>
          <w:bottom w:w="0" w:type="dxa"/>
          <w:right w:w="108" w:type="dxa"/>
        </w:tblCellMar>
      </w:tblPr>
      <w:tblGrid>
        <w:gridCol w:w="2200"/>
        <w:gridCol w:w="2220"/>
        <w:gridCol w:w="3880"/>
      </w:tblGrid>
      <w:tr>
        <w:tblPrEx>
          <w:tblCellMar>
            <w:top w:w="0" w:type="dxa"/>
            <w:left w:w="108" w:type="dxa"/>
            <w:bottom w:w="0" w:type="dxa"/>
            <w:right w:w="108" w:type="dxa"/>
          </w:tblCellMar>
        </w:tblPrEx>
        <w:trPr>
          <w:trHeight w:val="480"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栏目</w:t>
            </w:r>
          </w:p>
        </w:tc>
        <w:tc>
          <w:tcPr>
            <w:tcW w:w="22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ascii="宋体" w:hAnsi="宋体" w:eastAsia="宋体" w:cs="宋体"/>
                <w:color w:val="000000"/>
                <w:kern w:val="0"/>
                <w:sz w:val="22"/>
              </w:rPr>
              <w:t>参数要求</w:t>
            </w:r>
          </w:p>
        </w:tc>
        <w:tc>
          <w:tcPr>
            <w:tcW w:w="38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图片</w:t>
            </w:r>
          </w:p>
        </w:tc>
      </w:tr>
      <w:tr>
        <w:tblPrEx>
          <w:tblCellMar>
            <w:top w:w="0" w:type="dxa"/>
            <w:left w:w="108" w:type="dxa"/>
            <w:bottom w:w="0" w:type="dxa"/>
            <w:right w:w="108" w:type="dxa"/>
          </w:tblCellMar>
        </w:tblPrEx>
        <w:trPr>
          <w:trHeight w:val="699"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照片栏</w:t>
            </w:r>
          </w:p>
        </w:tc>
        <w:tc>
          <w:tcPr>
            <w:tcW w:w="222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20mm雪弗板+户外写真</w:t>
            </w:r>
          </w:p>
        </w:tc>
        <w:tc>
          <w:tcPr>
            <w:tcW w:w="38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2"/>
              </w:rPr>
            </w:pPr>
            <w:r>
              <w:rPr>
                <w:rFonts w:hint="eastAsia" w:ascii="宋体" w:hAnsi="宋体" w:eastAsia="宋体" w:cs="宋体"/>
                <w:color w:val="000000"/>
                <w:kern w:val="0"/>
                <w:sz w:val="22"/>
              </w:rPr>
              <w:t>　</w:t>
            </w:r>
            <w:r>
              <w:rPr>
                <w:rFonts w:ascii="宋体" w:hAnsi="宋体" w:eastAsia="宋体" w:cs="宋体"/>
                <w:color w:val="000000"/>
                <w:kern w:val="0"/>
                <w:sz w:val="22"/>
              </w:rPr>
              <w:drawing>
                <wp:inline distT="0" distB="0" distL="0" distR="0">
                  <wp:extent cx="1619250" cy="906780"/>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5" cstate="print"/>
                          <a:srcRect/>
                          <a:stretch>
                            <a:fillRect/>
                          </a:stretch>
                        </pic:blipFill>
                        <pic:spPr>
                          <a:xfrm>
                            <a:off x="0" y="0"/>
                            <a:ext cx="1620687" cy="907585"/>
                          </a:xfrm>
                          <a:prstGeom prst="rect">
                            <a:avLst/>
                          </a:prstGeom>
                          <a:noFill/>
                          <a:ln w="1">
                            <a:noFill/>
                            <a:miter lim="800000"/>
                            <a:headEnd/>
                            <a:tailEnd type="none" w="med" len="med"/>
                          </a:ln>
                          <a:effectLst/>
                        </pic:spPr>
                      </pic:pic>
                    </a:graphicData>
                  </a:graphic>
                </wp:inline>
              </w:drawing>
            </w:r>
          </w:p>
        </w:tc>
      </w:tr>
      <w:tr>
        <w:tblPrEx>
          <w:tblCellMar>
            <w:top w:w="0" w:type="dxa"/>
            <w:left w:w="108" w:type="dxa"/>
            <w:bottom w:w="0" w:type="dxa"/>
            <w:right w:w="108" w:type="dxa"/>
          </w:tblCellMar>
        </w:tblPrEx>
        <w:trPr>
          <w:trHeight w:val="1607"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医师简介</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10mm雪弗板+户外写真</w:t>
            </w:r>
          </w:p>
        </w:tc>
        <w:tc>
          <w:tcPr>
            <w:tcW w:w="388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2"/>
              </w:rPr>
            </w:pPr>
            <w:r>
              <w:rPr>
                <w:rFonts w:hint="eastAsia" w:ascii="宋体" w:hAnsi="宋体" w:eastAsia="宋体" w:cs="宋体"/>
                <w:color w:val="000000"/>
                <w:kern w:val="0"/>
                <w:sz w:val="22"/>
              </w:rPr>
              <w:t>　</w:t>
            </w:r>
            <w:r>
              <w:rPr>
                <w:rFonts w:ascii="宋体" w:hAnsi="宋体" w:eastAsia="宋体" w:cs="宋体"/>
                <w:color w:val="000000"/>
                <w:kern w:val="0"/>
                <w:sz w:val="22"/>
              </w:rPr>
              <w:drawing>
                <wp:inline distT="0" distB="0" distL="0" distR="0">
                  <wp:extent cx="1573530" cy="800100"/>
                  <wp:effectExtent l="19050" t="0" r="762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6" cstate="print"/>
                          <a:srcRect/>
                          <a:stretch>
                            <a:fillRect/>
                          </a:stretch>
                        </pic:blipFill>
                        <pic:spPr>
                          <a:xfrm>
                            <a:off x="0" y="0"/>
                            <a:ext cx="1571554" cy="799095"/>
                          </a:xfrm>
                          <a:prstGeom prst="rect">
                            <a:avLst/>
                          </a:prstGeom>
                          <a:noFill/>
                          <a:ln w="1">
                            <a:noFill/>
                            <a:miter lim="800000"/>
                            <a:headEnd/>
                            <a:tailEnd type="none" w="med" len="med"/>
                          </a:ln>
                          <a:effectLst/>
                        </pic:spPr>
                      </pic:pic>
                    </a:graphicData>
                  </a:graphic>
                </wp:inline>
              </w:drawing>
            </w:r>
          </w:p>
        </w:tc>
      </w:tr>
      <w:tr>
        <w:tblPrEx>
          <w:tblCellMar>
            <w:top w:w="0" w:type="dxa"/>
            <w:left w:w="108" w:type="dxa"/>
            <w:bottom w:w="0" w:type="dxa"/>
            <w:right w:w="108" w:type="dxa"/>
          </w:tblCellMar>
        </w:tblPrEx>
        <w:trPr>
          <w:trHeight w:val="1842"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主界面</w:t>
            </w:r>
          </w:p>
        </w:tc>
        <w:tc>
          <w:tcPr>
            <w:tcW w:w="22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2"/>
              </w:rPr>
            </w:pPr>
            <w:r>
              <w:rPr>
                <w:rFonts w:hint="eastAsia" w:ascii="宋体" w:hAnsi="宋体" w:eastAsia="宋体" w:cs="宋体"/>
                <w:color w:val="000000"/>
                <w:kern w:val="0"/>
                <w:sz w:val="22"/>
              </w:rPr>
              <w:t>20mm雪弗板喷漆UV</w:t>
            </w:r>
          </w:p>
        </w:tc>
        <w:tc>
          <w:tcPr>
            <w:tcW w:w="38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121920</wp:posOffset>
                  </wp:positionV>
                  <wp:extent cx="1680210" cy="93726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cstate="print"/>
                          <a:srcRect/>
                          <a:stretch>
                            <a:fillRect/>
                          </a:stretch>
                        </pic:blipFill>
                        <pic:spPr>
                          <a:xfrm>
                            <a:off x="0" y="0"/>
                            <a:ext cx="1680210" cy="937260"/>
                          </a:xfrm>
                          <a:prstGeom prst="rect">
                            <a:avLst/>
                          </a:prstGeom>
                          <a:noFill/>
                          <a:ln w="1">
                            <a:noFill/>
                            <a:miter lim="800000"/>
                            <a:headEnd/>
                            <a:tailEnd type="none" w="med" len="med"/>
                          </a:ln>
                          <a:effectLst/>
                        </pic:spPr>
                      </pic:pic>
                    </a:graphicData>
                  </a:graphic>
                </wp:anchor>
              </w:drawing>
            </w: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1421"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科室名称</w:t>
            </w:r>
          </w:p>
        </w:tc>
        <w:tc>
          <w:tcPr>
            <w:tcW w:w="222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10mm雪弗板喷漆</w:t>
            </w:r>
          </w:p>
        </w:tc>
        <w:tc>
          <w:tcPr>
            <w:tcW w:w="38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60288" behindDoc="0" locked="0" layoutInCell="1" allowOverlap="1">
                  <wp:simplePos x="0" y="0"/>
                  <wp:positionH relativeFrom="column">
                    <wp:posOffset>180340</wp:posOffset>
                  </wp:positionH>
                  <wp:positionV relativeFrom="paragraph">
                    <wp:posOffset>85090</wp:posOffset>
                  </wp:positionV>
                  <wp:extent cx="1680210" cy="67056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
                          <a:srcRect/>
                          <a:stretch>
                            <a:fillRect/>
                          </a:stretch>
                        </pic:blipFill>
                        <pic:spPr>
                          <a:xfrm>
                            <a:off x="0" y="0"/>
                            <a:ext cx="1680210" cy="670560"/>
                          </a:xfrm>
                          <a:prstGeom prst="rect">
                            <a:avLst/>
                          </a:prstGeom>
                          <a:noFill/>
                          <a:ln w="1">
                            <a:noFill/>
                            <a:miter lim="800000"/>
                            <a:headEnd/>
                            <a:tailEnd type="none" w="med" len="med"/>
                          </a:ln>
                          <a:effectLst/>
                        </pic:spPr>
                      </pic:pic>
                    </a:graphicData>
                  </a:graphic>
                </wp:anchor>
              </w:drawing>
            </w: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1676"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科室介绍</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000000"/>
                <w:kern w:val="0"/>
                <w:sz w:val="22"/>
              </w:rPr>
            </w:pPr>
            <w:r>
              <w:rPr>
                <w:rFonts w:hint="eastAsia" w:ascii="宋体" w:hAnsi="宋体" w:eastAsia="宋体" w:cs="宋体"/>
                <w:color w:val="000000"/>
                <w:kern w:val="0"/>
                <w:sz w:val="22"/>
              </w:rPr>
              <w:t>5mm亚克力UV</w:t>
            </w:r>
          </w:p>
        </w:tc>
        <w:tc>
          <w:tcPr>
            <w:tcW w:w="388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60288" behindDoc="0" locked="0" layoutInCell="1" allowOverlap="1">
                  <wp:simplePos x="0" y="0"/>
                  <wp:positionH relativeFrom="column">
                    <wp:posOffset>186690</wp:posOffset>
                  </wp:positionH>
                  <wp:positionV relativeFrom="paragraph">
                    <wp:posOffset>90805</wp:posOffset>
                  </wp:positionV>
                  <wp:extent cx="1680210" cy="86106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9" cstate="print"/>
                          <a:srcRect/>
                          <a:stretch>
                            <a:fillRect/>
                          </a:stretch>
                        </pic:blipFill>
                        <pic:spPr>
                          <a:xfrm>
                            <a:off x="0" y="0"/>
                            <a:ext cx="1680210" cy="861060"/>
                          </a:xfrm>
                          <a:prstGeom prst="rect">
                            <a:avLst/>
                          </a:prstGeom>
                          <a:noFill/>
                          <a:ln w="1">
                            <a:noFill/>
                            <a:miter lim="800000"/>
                            <a:headEnd/>
                            <a:tailEnd type="none" w="med" len="med"/>
                          </a:ln>
                          <a:effectLst/>
                        </pic:spPr>
                      </pic:pic>
                    </a:graphicData>
                  </a:graphic>
                </wp:anchor>
              </w:drawing>
            </w:r>
            <w:r>
              <w:rPr>
                <w:rFonts w:hint="eastAsia" w:ascii="宋体" w:hAnsi="宋体" w:eastAsia="宋体" w:cs="宋体"/>
                <w:color w:val="000000"/>
                <w:kern w:val="0"/>
                <w:sz w:val="22"/>
              </w:rPr>
              <w:t>　</w:t>
            </w:r>
          </w:p>
        </w:tc>
      </w:tr>
    </w:tbl>
    <w:p>
      <w:pPr>
        <w:pStyle w:val="14"/>
        <w:spacing w:line="360" w:lineRule="auto"/>
        <w:ind w:left="644" w:firstLine="0" w:firstLineChars="0"/>
        <w:jc w:val="left"/>
      </w:pPr>
    </w:p>
    <w:p>
      <w:pPr>
        <w:pStyle w:val="14"/>
        <w:numPr>
          <w:ilvl w:val="0"/>
          <w:numId w:val="3"/>
        </w:numPr>
        <w:spacing w:line="360" w:lineRule="auto"/>
        <w:ind w:firstLineChars="0"/>
        <w:jc w:val="left"/>
        <w:rPr>
          <w:b/>
        </w:rPr>
      </w:pPr>
      <w:r>
        <w:rPr>
          <w:rFonts w:hint="eastAsia"/>
          <w:b/>
        </w:rPr>
        <w:t>技术要求</w:t>
      </w:r>
    </w:p>
    <w:p>
      <w:pPr>
        <w:pStyle w:val="14"/>
        <w:spacing w:line="360" w:lineRule="auto"/>
        <w:ind w:left="435" w:leftChars="207"/>
        <w:jc w:val="left"/>
        <w:rPr>
          <w:b/>
        </w:rPr>
      </w:pPr>
      <w:r>
        <w:rPr>
          <w:rFonts w:hint="eastAsia"/>
          <w:color w:val="000000"/>
        </w:rPr>
        <w:t>相应标识制作有相关标准、规范的需按相关标准、规范执行。</w:t>
      </w:r>
    </w:p>
    <w:p>
      <w:pPr>
        <w:pStyle w:val="14"/>
        <w:numPr>
          <w:ilvl w:val="0"/>
          <w:numId w:val="3"/>
        </w:numPr>
        <w:spacing w:line="360" w:lineRule="auto"/>
        <w:ind w:firstLineChars="0"/>
        <w:jc w:val="left"/>
        <w:rPr>
          <w:b/>
        </w:rPr>
      </w:pPr>
      <w:r>
        <w:rPr>
          <w:rFonts w:hint="eastAsia"/>
          <w:b/>
        </w:rPr>
        <w:t>其他要求</w:t>
      </w:r>
    </w:p>
    <w:p>
      <w:pPr>
        <w:pStyle w:val="14"/>
        <w:numPr>
          <w:ilvl w:val="0"/>
          <w:numId w:val="4"/>
        </w:numPr>
        <w:spacing w:line="360" w:lineRule="auto"/>
        <w:ind w:firstLineChars="0"/>
        <w:jc w:val="left"/>
      </w:pPr>
      <w:r>
        <w:rPr>
          <w:rFonts w:hint="eastAsia"/>
        </w:rPr>
        <w:t>中标方需根据采购方提供的内容进行排版，排版格式因各科室内容不同可能略有差异，设计排版后需经采购方认可（可能需要多次修改确认）、确认后再进行制作（各宣传栏一般在采购方提供相应内容后一个月内完成）。</w:t>
      </w:r>
    </w:p>
    <w:p>
      <w:pPr>
        <w:pStyle w:val="14"/>
        <w:numPr>
          <w:ilvl w:val="0"/>
          <w:numId w:val="4"/>
        </w:numPr>
        <w:spacing w:line="360" w:lineRule="auto"/>
        <w:ind w:firstLineChars="0"/>
        <w:jc w:val="left"/>
      </w:pPr>
      <w:r>
        <w:rPr>
          <w:rFonts w:hint="eastAsia"/>
        </w:rPr>
        <w:t>各病区相应栏目字数、图片及内容因科室不同略有差异。</w:t>
      </w:r>
    </w:p>
    <w:p>
      <w:pPr>
        <w:pStyle w:val="14"/>
        <w:numPr>
          <w:ilvl w:val="0"/>
          <w:numId w:val="4"/>
        </w:numPr>
        <w:spacing w:line="360" w:lineRule="auto"/>
        <w:ind w:firstLineChars="0"/>
        <w:jc w:val="left"/>
      </w:pPr>
      <w:r>
        <w:rPr>
          <w:rFonts w:hint="eastAsia"/>
        </w:rPr>
        <w:t>宣传栏整体样式、颜色、材质、相应栏目字体大小等内容参照采购方现有模板进行操作（参照O110病区的宣传栏）。</w:t>
      </w:r>
    </w:p>
    <w:p>
      <w:pPr>
        <w:pStyle w:val="16"/>
        <w:numPr>
          <w:ilvl w:val="0"/>
          <w:numId w:val="4"/>
        </w:numPr>
      </w:pPr>
      <w:r>
        <w:rPr>
          <w:rFonts w:hint="eastAsia" w:hAnsi="宋体"/>
          <w:sz w:val="21"/>
          <w:szCs w:val="21"/>
        </w:rPr>
        <w:t>采购数量为预估数量，具体数量按实际数量结算，结算原则：中标综合单价*实际数量。</w:t>
      </w:r>
      <w:r>
        <w:rPr>
          <w:rFonts w:hint="eastAsia"/>
        </w:rPr>
        <w:t>前期制作数量13个，后期根据采购方实际情况进行操作。</w:t>
      </w:r>
    </w:p>
    <w:p>
      <w:pPr>
        <w:pStyle w:val="16"/>
        <w:numPr>
          <w:ilvl w:val="0"/>
          <w:numId w:val="4"/>
        </w:numPr>
      </w:pPr>
      <w:r>
        <w:rPr>
          <w:rFonts w:hint="eastAsia" w:hAnsi="宋体"/>
          <w:sz w:val="21"/>
          <w:szCs w:val="21"/>
        </w:rPr>
        <w:t>每个宣传栏单价不得超过预算单价，总额不超过预算总额。</w:t>
      </w:r>
    </w:p>
    <w:p>
      <w:pPr>
        <w:pStyle w:val="14"/>
        <w:numPr>
          <w:ilvl w:val="0"/>
          <w:numId w:val="4"/>
        </w:numPr>
        <w:spacing w:line="360" w:lineRule="auto"/>
        <w:ind w:firstLineChars="0"/>
        <w:jc w:val="left"/>
      </w:pPr>
      <w:r>
        <w:rPr>
          <w:rFonts w:hint="eastAsia"/>
        </w:rPr>
        <w:t>按宣传栏数量进行结算，合同服务期一年。</w:t>
      </w:r>
      <w:bookmarkStart w:id="0" w:name="_GoBack"/>
      <w:bookmarkEnd w:id="0"/>
    </w:p>
    <w:p>
      <w:pPr>
        <w:pStyle w:val="14"/>
        <w:numPr>
          <w:ilvl w:val="0"/>
          <w:numId w:val="1"/>
        </w:numPr>
        <w:spacing w:line="360" w:lineRule="auto"/>
        <w:ind w:firstLineChars="0"/>
      </w:pPr>
      <w:r>
        <w:rPr>
          <w:rFonts w:hint="eastAsia"/>
        </w:rPr>
        <w:t>投标人须知</w:t>
      </w:r>
    </w:p>
    <w:p>
      <w:pPr>
        <w:pStyle w:val="8"/>
        <w:shd w:val="clear" w:color="auto" w:fill="FAFAFA"/>
        <w:spacing w:before="0" w:beforeAutospacing="0" w:after="0" w:afterAutospacing="0" w:line="360" w:lineRule="auto"/>
        <w:ind w:firstLine="480"/>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请于截止日期前递交相关文件至后勤保障处瓯江口院区办公室，相关证件包含但不仅限于（所有证件均需加盖企业红章 ）：</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1.技术标1份：</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① 供应商三证复印件（企业组织机构代码、税务登记证、营业执照复印件）</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② 针对本项目制定的方案</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③ 企业资质能力（设计排版能力）、社会荣誉及产品销售业绩（如有）</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④ 其他供应商认为需要提供的文件</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2.商务报价1份（需密封在信封内，盖公章）（见附件1）、技术响应文件1份（需盖公章）。</w:t>
      </w:r>
    </w:p>
    <w:p>
      <w:pPr>
        <w:pStyle w:val="14"/>
        <w:numPr>
          <w:ilvl w:val="0"/>
          <w:numId w:val="5"/>
        </w:numPr>
        <w:shd w:val="clear" w:color="auto" w:fill="FAFAFA"/>
        <w:spacing w:line="360" w:lineRule="auto"/>
        <w:ind w:firstLineChars="0"/>
      </w:pPr>
      <w:r>
        <w:rPr>
          <w:rFonts w:hint="eastAsia"/>
          <w:b/>
          <w:bCs/>
        </w:rPr>
        <w:t>商务标请注明产品名称、规格型号、制造商、品牌等相关信息</w:t>
      </w:r>
      <w:r>
        <w:rPr>
          <w:rFonts w:hint="eastAsia"/>
        </w:rPr>
        <w:t>。本次报价价格包含货物到达甲方指定位置并能正常使用所需的一切费用，包括但不限于包装费、运输费、装卸费、税费等。</w:t>
      </w:r>
    </w:p>
    <w:p>
      <w:pPr>
        <w:pStyle w:val="14"/>
        <w:numPr>
          <w:ilvl w:val="0"/>
          <w:numId w:val="5"/>
        </w:numPr>
        <w:shd w:val="clear" w:color="auto" w:fill="FAFAFA"/>
        <w:spacing w:line="360" w:lineRule="auto"/>
        <w:ind w:firstLineChars="0"/>
      </w:pPr>
      <w:r>
        <w:rPr>
          <w:rFonts w:hint="eastAsia"/>
          <w:b/>
          <w:bCs/>
        </w:rPr>
        <w:t>技术响应文件包含营业执照、</w:t>
      </w:r>
      <w:r>
        <w:rPr>
          <w:rFonts w:hint="eastAsia"/>
        </w:rPr>
        <w:t>企业介绍、业绩及供货及售后能力等。</w:t>
      </w:r>
    </w:p>
    <w:p>
      <w:pPr>
        <w:pStyle w:val="14"/>
        <w:numPr>
          <w:ilvl w:val="0"/>
          <w:numId w:val="1"/>
        </w:numPr>
        <w:spacing w:line="360" w:lineRule="auto"/>
        <w:ind w:firstLineChars="0"/>
        <w:rPr>
          <w:b/>
        </w:rPr>
      </w:pPr>
      <w:r>
        <w:rPr>
          <w:rFonts w:hint="eastAsia"/>
          <w:b/>
        </w:rPr>
        <w:t>评标方法</w:t>
      </w:r>
    </w:p>
    <w:p>
      <w:pPr>
        <w:pStyle w:val="8"/>
        <w:shd w:val="clear" w:color="auto" w:fill="FAFAFA"/>
        <w:spacing w:before="0" w:beforeAutospacing="0" w:after="0" w:afterAutospacing="0" w:line="360" w:lineRule="auto"/>
        <w:ind w:firstLine="420" w:firstLineChars="200"/>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本项目入围一家，入围方式：最终得分=总价/产品技术分（产品技术分满分15分）。最终得分最小者即为入围供应商。</w:t>
      </w:r>
    </w:p>
    <w:p>
      <w:pPr>
        <w:pStyle w:val="8"/>
        <w:shd w:val="clear" w:color="auto" w:fill="FAFAFA"/>
        <w:spacing w:before="0" w:beforeAutospacing="0" w:after="0" w:afterAutospacing="0" w:line="360" w:lineRule="auto"/>
        <w:rPr>
          <w:rFonts w:asciiTheme="minorHAnsi" w:hAnsiTheme="minorHAnsi" w:eastAsiaTheme="minorEastAsia" w:cstheme="minorBidi"/>
          <w:kern w:val="2"/>
          <w:sz w:val="21"/>
          <w:szCs w:val="22"/>
        </w:rPr>
      </w:pPr>
    </w:p>
    <w:p>
      <w:pPr>
        <w:pStyle w:val="14"/>
        <w:numPr>
          <w:ilvl w:val="0"/>
          <w:numId w:val="1"/>
        </w:numPr>
        <w:spacing w:line="360" w:lineRule="auto"/>
        <w:ind w:firstLineChars="0"/>
        <w:rPr>
          <w:b/>
        </w:rPr>
      </w:pPr>
      <w:r>
        <w:rPr>
          <w:rFonts w:hint="eastAsia"/>
          <w:b/>
        </w:rPr>
        <w:t>报名时间和地点：</w:t>
      </w:r>
    </w:p>
    <w:p>
      <w:pPr>
        <w:pStyle w:val="8"/>
        <w:shd w:val="clear" w:color="auto" w:fill="FAFAFA"/>
        <w:spacing w:before="0" w:beforeAutospacing="0" w:after="0" w:afterAutospacing="0" w:line="360" w:lineRule="auto"/>
        <w:rPr>
          <w:rFonts w:ascii="微软雅黑" w:hAnsi="微软雅黑" w:eastAsia="微软雅黑"/>
          <w:color w:val="000000"/>
        </w:rPr>
      </w:pPr>
      <w:r>
        <w:rPr>
          <w:rFonts w:hint="eastAsia"/>
          <w:color w:val="000000"/>
        </w:rPr>
        <w:t>报价截止时间：2022年02月16日-2022年02月22号下午4:30。上班时间8:00-12:00,13:00-4:30（周一至周五、节假日除外），到温州医科大学附属第二医院瓯江口院区门诊二楼后勤保障处报名。</w:t>
      </w:r>
    </w:p>
    <w:p>
      <w:pPr>
        <w:pStyle w:val="14"/>
        <w:numPr>
          <w:ilvl w:val="0"/>
          <w:numId w:val="1"/>
        </w:numPr>
        <w:spacing w:line="360" w:lineRule="auto"/>
        <w:ind w:firstLineChars="0"/>
        <w:rPr>
          <w:b/>
        </w:rPr>
      </w:pPr>
      <w:r>
        <w:rPr>
          <w:rFonts w:hint="eastAsia"/>
          <w:b/>
        </w:rPr>
        <w:t>联系方式</w:t>
      </w:r>
    </w:p>
    <w:p>
      <w:pPr>
        <w:pStyle w:val="8"/>
        <w:shd w:val="clear" w:color="auto" w:fill="FAFAFA"/>
        <w:spacing w:before="0" w:beforeAutospacing="0" w:after="0" w:afterAutospacing="0" w:line="360" w:lineRule="auto"/>
        <w:rPr>
          <w:rFonts w:ascii="微软雅黑" w:hAnsi="微软雅黑" w:eastAsia="微软雅黑"/>
          <w:color w:val="000000"/>
        </w:rPr>
      </w:pPr>
      <w:r>
        <w:rPr>
          <w:rFonts w:hint="eastAsia"/>
          <w:color w:val="000000"/>
        </w:rPr>
        <w:t>联系地址：温州医科大学附属第二医院瓯江口院区门诊二楼后勤保障处</w:t>
      </w:r>
    </w:p>
    <w:p>
      <w:pPr>
        <w:pStyle w:val="8"/>
        <w:shd w:val="clear" w:color="auto" w:fill="FAFAFA"/>
        <w:spacing w:before="0" w:beforeAutospacing="0" w:after="0" w:afterAutospacing="0" w:line="360" w:lineRule="auto"/>
        <w:rPr>
          <w:rFonts w:ascii="微软雅黑" w:hAnsi="微软雅黑" w:eastAsia="微软雅黑"/>
          <w:color w:val="000000"/>
        </w:rPr>
      </w:pPr>
      <w:r>
        <w:rPr>
          <w:rFonts w:hint="eastAsia"/>
          <w:color w:val="000000"/>
        </w:rPr>
        <w:t>联系人：林老师</w:t>
      </w:r>
    </w:p>
    <w:p>
      <w:pPr>
        <w:pStyle w:val="8"/>
        <w:shd w:val="clear" w:color="auto" w:fill="FAFAFA"/>
        <w:spacing w:before="0" w:beforeAutospacing="0" w:after="0" w:afterAutospacing="0" w:line="360" w:lineRule="auto"/>
        <w:rPr>
          <w:rFonts w:ascii="微软雅黑" w:hAnsi="微软雅黑" w:eastAsia="微软雅黑"/>
          <w:color w:val="000000"/>
        </w:rPr>
      </w:pPr>
      <w:r>
        <w:rPr>
          <w:rFonts w:hint="eastAsia"/>
          <w:color w:val="000000"/>
        </w:rPr>
        <w:t>联系电话：85676397</w:t>
      </w:r>
    </w:p>
    <w:p>
      <w:pPr>
        <w:spacing w:line="360" w:lineRule="auto"/>
      </w:pPr>
      <w:r>
        <w:br w:type="page"/>
      </w:r>
    </w:p>
    <w:tbl>
      <w:tblPr>
        <w:tblStyle w:val="9"/>
        <w:tblW w:w="9941" w:type="dxa"/>
        <w:tblInd w:w="108" w:type="dxa"/>
        <w:tblLayout w:type="autofit"/>
        <w:tblCellMar>
          <w:top w:w="0" w:type="dxa"/>
          <w:left w:w="108" w:type="dxa"/>
          <w:bottom w:w="0" w:type="dxa"/>
          <w:right w:w="108" w:type="dxa"/>
        </w:tblCellMar>
      </w:tblPr>
      <w:tblGrid>
        <w:gridCol w:w="9941"/>
      </w:tblGrid>
      <w:tr>
        <w:tblPrEx>
          <w:tblCellMar>
            <w:top w:w="0" w:type="dxa"/>
            <w:left w:w="108" w:type="dxa"/>
            <w:bottom w:w="0" w:type="dxa"/>
            <w:right w:w="108" w:type="dxa"/>
          </w:tblCellMar>
        </w:tblPrEx>
        <w:trPr>
          <w:trHeight w:val="600" w:hRule="atLeast"/>
        </w:trPr>
        <w:tc>
          <w:tcPr>
            <w:tcW w:w="9941" w:type="dxa"/>
            <w:tcBorders>
              <w:top w:val="nil"/>
              <w:left w:val="nil"/>
              <w:bottom w:val="nil"/>
              <w:right w:val="nil"/>
            </w:tcBorders>
            <w:shd w:val="clear" w:color="auto" w:fill="auto"/>
            <w:noWrap/>
            <w:vAlign w:val="center"/>
          </w:tcPr>
          <w:p>
            <w:pPr>
              <w:widowControl/>
              <w:rPr>
                <w:rFonts w:ascii="宋体" w:hAnsi="宋体" w:eastAsia="宋体" w:cs="宋体"/>
                <w:b/>
                <w:kern w:val="0"/>
                <w:sz w:val="28"/>
                <w:szCs w:val="28"/>
              </w:rPr>
            </w:pPr>
            <w:r>
              <w:rPr>
                <w:rFonts w:hint="eastAsia" w:ascii="宋体" w:hAnsi="宋体" w:eastAsia="宋体" w:cs="宋体"/>
                <w:b/>
                <w:kern w:val="0"/>
                <w:sz w:val="28"/>
                <w:szCs w:val="28"/>
              </w:rPr>
              <w:t>附件1：</w:t>
            </w:r>
          </w:p>
          <w:p>
            <w:pPr>
              <w:pStyle w:val="4"/>
              <w:jc w:val="center"/>
              <w:rPr>
                <w:kern w:val="0"/>
              </w:rPr>
            </w:pPr>
            <w:r>
              <w:rPr>
                <w:rFonts w:hint="eastAsia"/>
                <w:kern w:val="0"/>
              </w:rPr>
              <w:t>温州医科大学附属第二医院瓯江口院区病区宣传栏一览表</w:t>
            </w:r>
          </w:p>
          <w:p>
            <w:pPr>
              <w:pStyle w:val="4"/>
              <w:jc w:val="center"/>
              <w:rPr>
                <w:kern w:val="0"/>
              </w:rPr>
            </w:pPr>
            <w:r>
              <w:rPr>
                <w:rFonts w:hint="eastAsia"/>
                <w:kern w:val="0"/>
              </w:rPr>
              <w:t>报  价  单</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99"/>
              <w:gridCol w:w="1382"/>
              <w:gridCol w:w="2715"/>
              <w:gridCol w:w="903"/>
              <w:gridCol w:w="934"/>
              <w:gridCol w:w="1291"/>
              <w:gridCol w:w="12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1" w:hRule="atLeast"/>
              </w:trPr>
              <w:tc>
                <w:tcPr>
                  <w:tcW w:w="1199"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名称</w:t>
                  </w:r>
                </w:p>
              </w:tc>
              <w:tc>
                <w:tcPr>
                  <w:tcW w:w="1382"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制作材料及要求</w:t>
                  </w:r>
                </w:p>
              </w:tc>
              <w:tc>
                <w:tcPr>
                  <w:tcW w:w="2715"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规格</w:t>
                  </w:r>
                </w:p>
              </w:tc>
              <w:tc>
                <w:tcPr>
                  <w:tcW w:w="903"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数量</w:t>
                  </w:r>
                </w:p>
              </w:tc>
              <w:tc>
                <w:tcPr>
                  <w:tcW w:w="934"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单位</w:t>
                  </w:r>
                </w:p>
              </w:tc>
              <w:tc>
                <w:tcPr>
                  <w:tcW w:w="1291"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单价（元/个）</w:t>
                  </w:r>
                </w:p>
              </w:tc>
              <w:tc>
                <w:tcPr>
                  <w:tcW w:w="1291" w:type="dxa"/>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总额（小写）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99" w:hRule="atLeast"/>
              </w:trPr>
              <w:tc>
                <w:tcPr>
                  <w:tcW w:w="1199" w:type="dxa"/>
                  <w:vAlign w:val="center"/>
                </w:tcPr>
                <w:p>
                  <w:pPr>
                    <w:widowControl/>
                    <w:jc w:val="center"/>
                    <w:rPr>
                      <w:rFonts w:ascii="宋体" w:hAnsi="宋体" w:eastAsia="宋体" w:cs="宋体"/>
                      <w:kern w:val="0"/>
                      <w:szCs w:val="21"/>
                    </w:rPr>
                  </w:pPr>
                  <w:r>
                    <w:rPr>
                      <w:rFonts w:hint="eastAsia"/>
                    </w:rPr>
                    <w:t>瓯江口院区病区宣传栏制作</w:t>
                  </w:r>
                </w:p>
              </w:tc>
              <w:tc>
                <w:tcPr>
                  <w:tcW w:w="1382" w:type="dxa"/>
                  <w:vAlign w:val="center"/>
                </w:tcPr>
                <w:p>
                  <w:pPr>
                    <w:widowControl/>
                    <w:jc w:val="center"/>
                    <w:rPr>
                      <w:rFonts w:ascii="宋体" w:hAnsi="宋体" w:eastAsia="宋体" w:cs="宋体"/>
                      <w:kern w:val="0"/>
                      <w:szCs w:val="21"/>
                    </w:rPr>
                  </w:pPr>
                  <w:r>
                    <w:rPr>
                      <w:rFonts w:ascii="宋体" w:hAnsi="宋体" w:eastAsia="宋体" w:cs="宋体"/>
                      <w:kern w:val="0"/>
                      <w:szCs w:val="21"/>
                    </w:rPr>
                    <w:t>见采购需求</w:t>
                  </w:r>
                </w:p>
              </w:tc>
              <w:tc>
                <w:tcPr>
                  <w:tcW w:w="2715"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4.2米（宽度）*1.5米（高度），具体大小根据现场情况而定，尺寸误差在10%以内</w:t>
                  </w:r>
                </w:p>
              </w:tc>
              <w:tc>
                <w:tcPr>
                  <w:tcW w:w="903" w:type="dxa"/>
                  <w:vAlign w:val="center"/>
                </w:tcPr>
                <w:p>
                  <w:pPr>
                    <w:widowControl/>
                    <w:jc w:val="center"/>
                    <w:rPr>
                      <w:rFonts w:ascii="宋体" w:hAnsi="宋体" w:eastAsia="宋体" w:cs="宋体"/>
                      <w:kern w:val="0"/>
                      <w:szCs w:val="21"/>
                    </w:rPr>
                  </w:pPr>
                  <w:r>
                    <w:rPr>
                      <w:rFonts w:hint="eastAsia"/>
                    </w:rPr>
                    <w:t>18</w:t>
                  </w:r>
                </w:p>
              </w:tc>
              <w:tc>
                <w:tcPr>
                  <w:tcW w:w="934" w:type="dxa"/>
                  <w:vAlign w:val="center"/>
                </w:tcPr>
                <w:p>
                  <w:pPr>
                    <w:widowControl/>
                    <w:jc w:val="center"/>
                    <w:rPr>
                      <w:rFonts w:ascii="宋体" w:hAnsi="宋体" w:eastAsia="宋体" w:cs="宋体"/>
                      <w:kern w:val="0"/>
                      <w:szCs w:val="21"/>
                    </w:rPr>
                  </w:pPr>
                  <w:r>
                    <w:rPr>
                      <w:rFonts w:hint="eastAsia" w:ascii="宋体" w:hAnsi="宋体" w:eastAsia="宋体" w:cs="宋体"/>
                      <w:kern w:val="0"/>
                      <w:szCs w:val="21"/>
                    </w:rPr>
                    <w:t>个</w:t>
                  </w:r>
                </w:p>
              </w:tc>
              <w:tc>
                <w:tcPr>
                  <w:tcW w:w="1291" w:type="dxa"/>
                  <w:vAlign w:val="center"/>
                </w:tcPr>
                <w:p>
                  <w:pPr>
                    <w:widowControl/>
                    <w:jc w:val="center"/>
                    <w:rPr>
                      <w:rFonts w:ascii="宋体" w:hAnsi="宋体" w:eastAsia="宋体" w:cs="宋体"/>
                      <w:kern w:val="0"/>
                      <w:szCs w:val="21"/>
                    </w:rPr>
                  </w:pPr>
                </w:p>
              </w:tc>
              <w:tc>
                <w:tcPr>
                  <w:tcW w:w="1291" w:type="dxa"/>
                  <w:vAlign w:val="center"/>
                </w:tcPr>
                <w:p>
                  <w:pPr>
                    <w:widowControl/>
                    <w:jc w:val="center"/>
                    <w:rPr>
                      <w:rFonts w:ascii="宋体" w:hAnsi="宋体" w:eastAsia="宋体" w:cs="宋体"/>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9" w:type="dxa"/>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总额</w:t>
                  </w:r>
                </w:p>
                <w:p>
                  <w:pPr>
                    <w:widowControl/>
                    <w:jc w:val="center"/>
                    <w:rPr>
                      <w:rFonts w:ascii="宋体" w:hAnsi="宋体" w:eastAsia="宋体" w:cs="宋体"/>
                      <w:kern w:val="0"/>
                      <w:sz w:val="28"/>
                      <w:szCs w:val="28"/>
                    </w:rPr>
                  </w:pPr>
                  <w:r>
                    <w:rPr>
                      <w:rFonts w:hint="eastAsia" w:ascii="宋体" w:hAnsi="宋体" w:eastAsia="宋体" w:cs="宋体"/>
                      <w:kern w:val="0"/>
                      <w:sz w:val="28"/>
                      <w:szCs w:val="28"/>
                    </w:rPr>
                    <w:t>（大写）</w:t>
                  </w:r>
                </w:p>
              </w:tc>
              <w:tc>
                <w:tcPr>
                  <w:tcW w:w="8516" w:type="dxa"/>
                  <w:gridSpan w:val="6"/>
                  <w:vAlign w:val="center"/>
                </w:tcPr>
                <w:p>
                  <w:pPr>
                    <w:widowControl/>
                    <w:jc w:val="left"/>
                    <w:rPr>
                      <w:rFonts w:ascii="宋体" w:hAnsi="宋体" w:eastAsia="宋体" w:cs="宋体"/>
                      <w:kern w:val="0"/>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9" w:type="dxa"/>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备注</w:t>
                  </w:r>
                </w:p>
              </w:tc>
              <w:tc>
                <w:tcPr>
                  <w:tcW w:w="8516" w:type="dxa"/>
                  <w:gridSpan w:val="6"/>
                  <w:vAlign w:val="center"/>
                </w:tcPr>
                <w:p>
                  <w:pPr>
                    <w:widowControl/>
                    <w:jc w:val="left"/>
                    <w:rPr>
                      <w:rFonts w:ascii="宋体" w:hAnsi="宋体" w:eastAsia="宋体" w:cs="宋体"/>
                      <w:kern w:val="0"/>
                      <w:sz w:val="28"/>
                      <w:szCs w:val="28"/>
                    </w:rPr>
                  </w:pPr>
                  <w:r>
                    <w:rPr>
                      <w:rFonts w:hint="eastAsia" w:ascii="宋体" w:hAnsi="宋体" w:eastAsia="宋体" w:cs="宋体"/>
                      <w:b/>
                      <w:kern w:val="0"/>
                      <w:szCs w:val="21"/>
                    </w:rPr>
                    <w:t>*</w:t>
                  </w:r>
                  <w:r>
                    <w:rPr>
                      <w:rFonts w:hint="eastAsia" w:ascii="宋体" w:hAnsi="宋体" w:eastAsia="宋体" w:cs="宋体"/>
                      <w:kern w:val="0"/>
                      <w:szCs w:val="21"/>
                    </w:rPr>
                    <w:t>报价总额不能超过预算总额</w:t>
                  </w:r>
                </w:p>
              </w:tc>
            </w:tr>
          </w:tbl>
          <w:p>
            <w:pPr>
              <w:widowControl/>
              <w:jc w:val="center"/>
              <w:rPr>
                <w:rFonts w:ascii="宋体" w:hAnsi="宋体" w:eastAsia="宋体" w:cs="宋体"/>
                <w:kern w:val="0"/>
                <w:sz w:val="28"/>
                <w:szCs w:val="28"/>
              </w:rPr>
            </w:pPr>
          </w:p>
          <w:p>
            <w:pPr>
              <w:widowControl/>
              <w:rPr>
                <w:rFonts w:ascii="宋体" w:hAnsi="宋体" w:eastAsia="宋体" w:cs="宋体"/>
                <w:kern w:val="0"/>
                <w:sz w:val="28"/>
                <w:szCs w:val="28"/>
              </w:rPr>
            </w:pPr>
            <w:r>
              <w:rPr>
                <w:rFonts w:hint="eastAsia" w:ascii="宋体" w:hAnsi="宋体" w:eastAsia="宋体" w:cs="宋体"/>
                <w:kern w:val="0"/>
                <w:sz w:val="28"/>
                <w:szCs w:val="28"/>
              </w:rPr>
              <w:t>备注：需单独密封</w:t>
            </w:r>
          </w:p>
          <w:p>
            <w:pPr>
              <w:widowControl/>
              <w:jc w:val="center"/>
              <w:rPr>
                <w:rFonts w:ascii="宋体" w:hAnsi="宋体" w:eastAsia="宋体" w:cs="宋体"/>
                <w:kern w:val="0"/>
                <w:sz w:val="28"/>
                <w:szCs w:val="28"/>
              </w:rPr>
            </w:pPr>
            <w:r>
              <w:rPr>
                <w:rFonts w:hint="eastAsia" w:ascii="宋体" w:hAnsi="宋体" w:eastAsia="宋体" w:cs="宋体"/>
                <w:kern w:val="0"/>
                <w:sz w:val="28"/>
                <w:szCs w:val="28"/>
              </w:rPr>
              <w:t xml:space="preserve">      </w:t>
            </w:r>
          </w:p>
          <w:p>
            <w:pPr>
              <w:widowControl/>
              <w:jc w:val="center"/>
              <w:rPr>
                <w:rFonts w:ascii="宋体" w:hAnsi="宋体" w:eastAsia="宋体" w:cs="宋体"/>
                <w:kern w:val="0"/>
                <w:sz w:val="28"/>
                <w:szCs w:val="28"/>
              </w:rPr>
            </w:pPr>
          </w:p>
          <w:p>
            <w:pPr>
              <w:widowControl/>
              <w:jc w:val="center"/>
              <w:rPr>
                <w:rFonts w:ascii="宋体" w:hAnsi="宋体" w:eastAsia="宋体" w:cs="宋体"/>
                <w:kern w:val="0"/>
                <w:sz w:val="28"/>
                <w:szCs w:val="28"/>
              </w:rPr>
            </w:pPr>
            <w:r>
              <w:rPr>
                <w:rFonts w:hint="eastAsia" w:ascii="宋体" w:hAnsi="宋体" w:eastAsia="宋体" w:cs="宋体"/>
                <w:kern w:val="0"/>
                <w:sz w:val="28"/>
                <w:szCs w:val="28"/>
              </w:rPr>
              <w:t xml:space="preserve">          公司名称：</w:t>
            </w:r>
          </w:p>
          <w:p>
            <w:pPr>
              <w:widowControl/>
              <w:jc w:val="center"/>
              <w:rPr>
                <w:rFonts w:ascii="宋体" w:hAnsi="宋体" w:eastAsia="宋体" w:cs="宋体"/>
                <w:kern w:val="0"/>
                <w:sz w:val="36"/>
                <w:szCs w:val="36"/>
              </w:rPr>
            </w:pPr>
            <w:r>
              <w:rPr>
                <w:rFonts w:hint="eastAsia" w:ascii="宋体" w:hAnsi="宋体" w:eastAsia="宋体" w:cs="宋体"/>
                <w:kern w:val="0"/>
                <w:sz w:val="28"/>
                <w:szCs w:val="28"/>
              </w:rPr>
              <w:t xml:space="preserve">         （盖章）</w:t>
            </w:r>
          </w:p>
        </w:tc>
      </w:tr>
    </w:tbl>
    <w:p>
      <w:pPr>
        <w:spacing w:line="360" w:lineRule="auto"/>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03C34"/>
    <w:multiLevelType w:val="multilevel"/>
    <w:tmpl w:val="0AB03C3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6C76A1"/>
    <w:multiLevelType w:val="multilevel"/>
    <w:tmpl w:val="156C76A1"/>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
    <w:nsid w:val="565D69F8"/>
    <w:multiLevelType w:val="multilevel"/>
    <w:tmpl w:val="565D69F8"/>
    <w:lvl w:ilvl="0" w:tentative="0">
      <w:start w:val="1"/>
      <w:numFmt w:val="decimal"/>
      <w:lvlText w:val="%1)"/>
      <w:lvlJc w:val="left"/>
      <w:pPr>
        <w:ind w:left="1064" w:hanging="420"/>
      </w:pPr>
    </w:lvl>
    <w:lvl w:ilvl="1" w:tentative="0">
      <w:start w:val="1"/>
      <w:numFmt w:val="lowerLetter"/>
      <w:lvlText w:val="%2)"/>
      <w:lvlJc w:val="left"/>
      <w:pPr>
        <w:ind w:left="1484" w:hanging="420"/>
      </w:pPr>
    </w:lvl>
    <w:lvl w:ilvl="2" w:tentative="0">
      <w:start w:val="1"/>
      <w:numFmt w:val="lowerRoman"/>
      <w:lvlText w:val="%3."/>
      <w:lvlJc w:val="right"/>
      <w:pPr>
        <w:ind w:left="1904" w:hanging="420"/>
      </w:pPr>
    </w:lvl>
    <w:lvl w:ilvl="3" w:tentative="0">
      <w:start w:val="1"/>
      <w:numFmt w:val="decimal"/>
      <w:lvlText w:val="%4."/>
      <w:lvlJc w:val="left"/>
      <w:pPr>
        <w:ind w:left="2324" w:hanging="420"/>
      </w:pPr>
    </w:lvl>
    <w:lvl w:ilvl="4" w:tentative="0">
      <w:start w:val="1"/>
      <w:numFmt w:val="lowerLetter"/>
      <w:lvlText w:val="%5)"/>
      <w:lvlJc w:val="left"/>
      <w:pPr>
        <w:ind w:left="2744" w:hanging="420"/>
      </w:pPr>
    </w:lvl>
    <w:lvl w:ilvl="5" w:tentative="0">
      <w:start w:val="1"/>
      <w:numFmt w:val="lowerRoman"/>
      <w:lvlText w:val="%6."/>
      <w:lvlJc w:val="right"/>
      <w:pPr>
        <w:ind w:left="3164" w:hanging="420"/>
      </w:pPr>
    </w:lvl>
    <w:lvl w:ilvl="6" w:tentative="0">
      <w:start w:val="1"/>
      <w:numFmt w:val="decimal"/>
      <w:lvlText w:val="%7."/>
      <w:lvlJc w:val="left"/>
      <w:pPr>
        <w:ind w:left="3584" w:hanging="420"/>
      </w:pPr>
    </w:lvl>
    <w:lvl w:ilvl="7" w:tentative="0">
      <w:start w:val="1"/>
      <w:numFmt w:val="lowerLetter"/>
      <w:lvlText w:val="%8)"/>
      <w:lvlJc w:val="left"/>
      <w:pPr>
        <w:ind w:left="4004" w:hanging="420"/>
      </w:pPr>
    </w:lvl>
    <w:lvl w:ilvl="8" w:tentative="0">
      <w:start w:val="1"/>
      <w:numFmt w:val="lowerRoman"/>
      <w:lvlText w:val="%9."/>
      <w:lvlJc w:val="right"/>
      <w:pPr>
        <w:ind w:left="4424" w:hanging="420"/>
      </w:pPr>
    </w:lvl>
  </w:abstractNum>
  <w:abstractNum w:abstractNumId="3">
    <w:nsid w:val="627F76BA"/>
    <w:multiLevelType w:val="multilevel"/>
    <w:tmpl w:val="627F76BA"/>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7F2417"/>
    <w:multiLevelType w:val="multilevel"/>
    <w:tmpl w:val="6B7F2417"/>
    <w:lvl w:ilvl="0" w:tentative="0">
      <w:start w:val="1"/>
      <w:numFmt w:val="bullet"/>
      <w:lvlText w:val=""/>
      <w:lvlJc w:val="left"/>
      <w:pPr>
        <w:ind w:left="730" w:hanging="420"/>
      </w:pPr>
      <w:rPr>
        <w:rFonts w:hint="default" w:ascii="Wingdings" w:hAnsi="Wingdings"/>
      </w:rPr>
    </w:lvl>
    <w:lvl w:ilvl="1" w:tentative="0">
      <w:start w:val="1"/>
      <w:numFmt w:val="bullet"/>
      <w:lvlText w:val=""/>
      <w:lvlJc w:val="left"/>
      <w:pPr>
        <w:ind w:left="1150" w:hanging="420"/>
      </w:pPr>
      <w:rPr>
        <w:rFonts w:hint="default" w:ascii="Wingdings" w:hAnsi="Wingdings"/>
      </w:rPr>
    </w:lvl>
    <w:lvl w:ilvl="2" w:tentative="0">
      <w:start w:val="1"/>
      <w:numFmt w:val="bullet"/>
      <w:lvlText w:val=""/>
      <w:lvlJc w:val="left"/>
      <w:pPr>
        <w:ind w:left="1570" w:hanging="420"/>
      </w:pPr>
      <w:rPr>
        <w:rFonts w:hint="default" w:ascii="Wingdings" w:hAnsi="Wingdings"/>
      </w:rPr>
    </w:lvl>
    <w:lvl w:ilvl="3" w:tentative="0">
      <w:start w:val="1"/>
      <w:numFmt w:val="bullet"/>
      <w:lvlText w:val=""/>
      <w:lvlJc w:val="left"/>
      <w:pPr>
        <w:ind w:left="1990" w:hanging="420"/>
      </w:pPr>
      <w:rPr>
        <w:rFonts w:hint="default" w:ascii="Wingdings" w:hAnsi="Wingdings"/>
      </w:rPr>
    </w:lvl>
    <w:lvl w:ilvl="4" w:tentative="0">
      <w:start w:val="1"/>
      <w:numFmt w:val="bullet"/>
      <w:lvlText w:val=""/>
      <w:lvlJc w:val="left"/>
      <w:pPr>
        <w:ind w:left="2410" w:hanging="420"/>
      </w:pPr>
      <w:rPr>
        <w:rFonts w:hint="default" w:ascii="Wingdings" w:hAnsi="Wingdings"/>
      </w:rPr>
    </w:lvl>
    <w:lvl w:ilvl="5" w:tentative="0">
      <w:start w:val="1"/>
      <w:numFmt w:val="bullet"/>
      <w:lvlText w:val=""/>
      <w:lvlJc w:val="left"/>
      <w:pPr>
        <w:ind w:left="2830" w:hanging="420"/>
      </w:pPr>
      <w:rPr>
        <w:rFonts w:hint="default" w:ascii="Wingdings" w:hAnsi="Wingdings"/>
      </w:rPr>
    </w:lvl>
    <w:lvl w:ilvl="6" w:tentative="0">
      <w:start w:val="1"/>
      <w:numFmt w:val="bullet"/>
      <w:lvlText w:val=""/>
      <w:lvlJc w:val="left"/>
      <w:pPr>
        <w:ind w:left="3250" w:hanging="420"/>
      </w:pPr>
      <w:rPr>
        <w:rFonts w:hint="default" w:ascii="Wingdings" w:hAnsi="Wingdings"/>
      </w:rPr>
    </w:lvl>
    <w:lvl w:ilvl="7" w:tentative="0">
      <w:start w:val="1"/>
      <w:numFmt w:val="bullet"/>
      <w:lvlText w:val=""/>
      <w:lvlJc w:val="left"/>
      <w:pPr>
        <w:ind w:left="3670" w:hanging="420"/>
      </w:pPr>
      <w:rPr>
        <w:rFonts w:hint="default" w:ascii="Wingdings" w:hAnsi="Wingdings"/>
      </w:rPr>
    </w:lvl>
    <w:lvl w:ilvl="8" w:tentative="0">
      <w:start w:val="1"/>
      <w:numFmt w:val="bullet"/>
      <w:lvlText w:val=""/>
      <w:lvlJc w:val="left"/>
      <w:pPr>
        <w:ind w:left="4090" w:hanging="420"/>
      </w:pPr>
      <w:rPr>
        <w:rFonts w:hint="default" w:ascii="Wingdings" w:hAnsi="Wingdings"/>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173"/>
    <w:rsid w:val="00015FF3"/>
    <w:rsid w:val="00021973"/>
    <w:rsid w:val="000B1B50"/>
    <w:rsid w:val="001E4F90"/>
    <w:rsid w:val="002375F2"/>
    <w:rsid w:val="00277773"/>
    <w:rsid w:val="00280EC8"/>
    <w:rsid w:val="00291A30"/>
    <w:rsid w:val="002C4DBB"/>
    <w:rsid w:val="003329A4"/>
    <w:rsid w:val="0038147D"/>
    <w:rsid w:val="00421F19"/>
    <w:rsid w:val="00501C51"/>
    <w:rsid w:val="00544BF8"/>
    <w:rsid w:val="00565EFC"/>
    <w:rsid w:val="005965BF"/>
    <w:rsid w:val="005E27D6"/>
    <w:rsid w:val="00617049"/>
    <w:rsid w:val="006539B5"/>
    <w:rsid w:val="00674A4C"/>
    <w:rsid w:val="00884649"/>
    <w:rsid w:val="008945EE"/>
    <w:rsid w:val="009B73F6"/>
    <w:rsid w:val="00A02496"/>
    <w:rsid w:val="00A42F84"/>
    <w:rsid w:val="00A8005A"/>
    <w:rsid w:val="00A831CC"/>
    <w:rsid w:val="00A925D6"/>
    <w:rsid w:val="00AB14B7"/>
    <w:rsid w:val="00AC36BE"/>
    <w:rsid w:val="00B2709A"/>
    <w:rsid w:val="00B84D8A"/>
    <w:rsid w:val="00BE5B94"/>
    <w:rsid w:val="00BE7C16"/>
    <w:rsid w:val="00C11173"/>
    <w:rsid w:val="00C1703E"/>
    <w:rsid w:val="00C40E08"/>
    <w:rsid w:val="00C9243E"/>
    <w:rsid w:val="00CD389E"/>
    <w:rsid w:val="00D918B9"/>
    <w:rsid w:val="00DE55C7"/>
    <w:rsid w:val="00E530D6"/>
    <w:rsid w:val="00E85DEC"/>
    <w:rsid w:val="00ED7B09"/>
    <w:rsid w:val="00F37DFB"/>
    <w:rsid w:val="00F752F1"/>
    <w:rsid w:val="00FE7FC5"/>
    <w:rsid w:val="32B24B3D"/>
    <w:rsid w:val="362D1F6B"/>
    <w:rsid w:val="7FFF7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unhideWhenUsed/>
    <w:qFormat/>
    <w:uiPriority w:val="99"/>
    <w:rPr>
      <w:sz w:val="18"/>
      <w:szCs w:val="18"/>
    </w:rPr>
  </w:style>
  <w:style w:type="paragraph" w:styleId="6">
    <w:name w:val="footer"/>
    <w:basedOn w:val="1"/>
    <w:link w:val="18"/>
    <w:semiHidden/>
    <w:unhideWhenUsed/>
    <w:qFormat/>
    <w:uiPriority w:val="99"/>
    <w:pPr>
      <w:tabs>
        <w:tab w:val="center" w:pos="4153"/>
        <w:tab w:val="right" w:pos="8306"/>
      </w:tabs>
      <w:snapToGrid w:val="0"/>
      <w:jc w:val="left"/>
    </w:pPr>
    <w:rPr>
      <w:sz w:val="18"/>
      <w:szCs w:val="18"/>
    </w:rPr>
  </w:style>
  <w:style w:type="paragraph" w:styleId="7">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Strong"/>
    <w:basedOn w:val="11"/>
    <w:qFormat/>
    <w:uiPriority w:val="22"/>
    <w:rPr>
      <w:b/>
      <w:bCs/>
    </w:rPr>
  </w:style>
  <w:style w:type="character" w:customStyle="1" w:styleId="13">
    <w:name w:val="标题 1 Char"/>
    <w:basedOn w:val="11"/>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批注框文本 Char"/>
    <w:basedOn w:val="11"/>
    <w:link w:val="5"/>
    <w:semiHidden/>
    <w:qFormat/>
    <w:uiPriority w:val="99"/>
    <w:rPr>
      <w:sz w:val="18"/>
      <w:szCs w:val="18"/>
    </w:rPr>
  </w:style>
  <w:style w:type="paragraph" w:customStyle="1" w:styleId="16">
    <w:name w:val="p17"/>
    <w:basedOn w:val="1"/>
    <w:qFormat/>
    <w:uiPriority w:val="0"/>
    <w:pPr>
      <w:widowControl/>
      <w:spacing w:line="360" w:lineRule="auto"/>
      <w:ind w:firstLine="420"/>
      <w:jc w:val="left"/>
    </w:pPr>
    <w:rPr>
      <w:rFonts w:ascii="Times New Roman" w:hAnsi="Times New Roman" w:eastAsia="宋体" w:cs="Times New Roman"/>
      <w:kern w:val="0"/>
      <w:sz w:val="24"/>
      <w:szCs w:val="24"/>
    </w:rPr>
  </w:style>
  <w:style w:type="character" w:customStyle="1" w:styleId="17">
    <w:name w:val="页眉 Char"/>
    <w:basedOn w:val="11"/>
    <w:link w:val="7"/>
    <w:semiHidden/>
    <w:qFormat/>
    <w:uiPriority w:val="99"/>
    <w:rPr>
      <w:sz w:val="18"/>
      <w:szCs w:val="18"/>
    </w:rPr>
  </w:style>
  <w:style w:type="character" w:customStyle="1" w:styleId="18">
    <w:name w:val="页脚 Char"/>
    <w:basedOn w:val="11"/>
    <w:link w:val="6"/>
    <w:semiHidden/>
    <w:qFormat/>
    <w:uiPriority w:val="99"/>
    <w:rPr>
      <w:sz w:val="18"/>
      <w:szCs w:val="18"/>
    </w:rPr>
  </w:style>
  <w:style w:type="character" w:customStyle="1" w:styleId="19">
    <w:name w:val="标题 2 Char"/>
    <w:basedOn w:val="11"/>
    <w:link w:val="3"/>
    <w:qFormat/>
    <w:uiPriority w:val="9"/>
    <w:rPr>
      <w:rFonts w:asciiTheme="majorHAnsi" w:hAnsiTheme="majorHAnsi" w:eastAsiaTheme="majorEastAsia" w:cstheme="majorBidi"/>
      <w:b/>
      <w:bCs/>
      <w:sz w:val="32"/>
      <w:szCs w:val="32"/>
    </w:rPr>
  </w:style>
  <w:style w:type="character" w:customStyle="1" w:styleId="20">
    <w:name w:val="标题 3 Char"/>
    <w:basedOn w:val="11"/>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220</Words>
  <Characters>1254</Characters>
  <Lines>10</Lines>
  <Paragraphs>2</Paragraphs>
  <TotalTime>165</TotalTime>
  <ScaleCrop>false</ScaleCrop>
  <LinksUpToDate>false</LinksUpToDate>
  <CharactersWithSpaces>1472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2021-12-20T04:08:00Z</dcterms:created>
  <dc:creator>hp</dc:creator>
  <cp:lastModifiedBy>谙知偌素</cp:lastModifiedBy>
  <dcterms:modified xsi:type="dcterms:W3CDTF">2022-02-17T07:10:23Z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2451D6F54F134B3880746CAEF5C7E618</vt:lpwstr>
  </property>
</Properties>
</file>