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24"/>
          <w:szCs w:val="24"/>
        </w:rPr>
      </w:pPr>
      <w:r>
        <w:rPr>
          <w:rFonts w:hAnsi="宋体"/>
          <w:b/>
          <w:sz w:val="24"/>
          <w:szCs w:val="24"/>
        </w:rPr>
        <w:t>评标办法</w:t>
      </w:r>
    </w:p>
    <w:p>
      <w:pPr>
        <w:adjustRightInd w:val="0"/>
        <w:snapToGrid w:val="0"/>
        <w:spacing w:line="360" w:lineRule="auto"/>
        <w:ind w:right="17" w:firstLine="480" w:firstLineChars="200"/>
        <w:rPr>
          <w:color w:val="auto"/>
          <w:sz w:val="24"/>
          <w:szCs w:val="24"/>
        </w:rPr>
      </w:pPr>
      <w:r>
        <w:rPr>
          <w:rFonts w:hAnsi="宋体"/>
          <w:sz w:val="24"/>
          <w:szCs w:val="24"/>
        </w:rPr>
        <w:t>根据《中华人民共和国政府采购法》和《中华人民共和国招标投标法》的有关规定，为更好地做到公开、公平</w:t>
      </w:r>
      <w:r>
        <w:rPr>
          <w:rFonts w:hAnsi="宋体"/>
          <w:color w:val="auto"/>
          <w:sz w:val="24"/>
          <w:szCs w:val="24"/>
        </w:rPr>
        <w:t>、公正，结合本次项目采购的特点，特制定本评标办法。评标小组用综合评分法对</w:t>
      </w:r>
      <w:r>
        <w:rPr>
          <w:rFonts w:hint="eastAsia" w:hAnsi="宋体"/>
          <w:color w:val="auto"/>
          <w:sz w:val="24"/>
          <w:szCs w:val="24"/>
        </w:rPr>
        <w:t>采购</w:t>
      </w:r>
      <w:r>
        <w:rPr>
          <w:rFonts w:hAnsi="宋体"/>
          <w:color w:val="auto"/>
          <w:sz w:val="24"/>
          <w:szCs w:val="24"/>
        </w:rPr>
        <w:t>项目作出评标结论。</w:t>
      </w:r>
    </w:p>
    <w:p>
      <w:pPr>
        <w:spacing w:beforeLines="50" w:afterLines="50" w:line="360" w:lineRule="auto"/>
        <w:ind w:firstLine="420"/>
        <w:rPr>
          <w:bCs/>
          <w:color w:val="auto"/>
          <w:sz w:val="24"/>
          <w:szCs w:val="24"/>
        </w:rPr>
      </w:pPr>
      <w:r>
        <w:rPr>
          <w:rFonts w:hAnsi="宋体"/>
          <w:color w:val="auto"/>
          <w:sz w:val="24"/>
          <w:szCs w:val="24"/>
        </w:rPr>
        <w:t>本办法适用于</w:t>
      </w:r>
      <w:r>
        <w:rPr>
          <w:rFonts w:hint="eastAsia" w:ascii="宋体" w:hAnsi="宋体"/>
          <w:color w:val="auto"/>
          <w:sz w:val="24"/>
          <w:szCs w:val="24"/>
        </w:rPr>
        <w:t>职业病危害放射防护预评价、</w:t>
      </w:r>
      <w:r>
        <w:rPr>
          <w:rFonts w:hint="eastAsia" w:ascii="宋体" w:hAnsi="宋体"/>
          <w:color w:val="auto"/>
          <w:sz w:val="24"/>
        </w:rPr>
        <w:t>职业病危害控制效果放射防护评价</w:t>
      </w:r>
      <w:r>
        <w:rPr>
          <w:rFonts w:hint="eastAsia" w:ascii="宋体" w:hAnsi="宋体"/>
          <w:color w:val="auto"/>
          <w:sz w:val="24"/>
          <w:szCs w:val="24"/>
        </w:rPr>
        <w:t>、辐射环境影响评价、</w:t>
      </w:r>
      <w:r>
        <w:rPr>
          <w:rFonts w:hint="eastAsia" w:ascii="宋体" w:hAnsi="宋体"/>
          <w:color w:val="auto"/>
          <w:sz w:val="24"/>
        </w:rPr>
        <w:t>放射诊疗设备质量控制检测及工作场所防护检测</w:t>
      </w:r>
      <w:r>
        <w:rPr>
          <w:rFonts w:hAnsi="宋体"/>
          <w:bCs/>
          <w:color w:val="auto"/>
          <w:sz w:val="24"/>
          <w:szCs w:val="24"/>
        </w:rPr>
        <w:t>的评标。</w:t>
      </w:r>
    </w:p>
    <w:p>
      <w:pPr>
        <w:pStyle w:val="3"/>
        <w:spacing w:line="360" w:lineRule="auto"/>
        <w:rPr>
          <w:rFonts w:ascii="Times New Roman" w:hAnsi="Times New Roman"/>
          <w:b/>
          <w:bCs/>
          <w:color w:val="auto"/>
          <w:sz w:val="24"/>
          <w:szCs w:val="24"/>
        </w:rPr>
      </w:pPr>
      <w:r>
        <w:rPr>
          <w:rFonts w:ascii="Times New Roman" w:hAnsi="宋体"/>
          <w:b/>
          <w:bCs/>
          <w:color w:val="auto"/>
          <w:sz w:val="24"/>
          <w:szCs w:val="24"/>
        </w:rPr>
        <w:t>一、总则</w:t>
      </w:r>
    </w:p>
    <w:p>
      <w:pPr>
        <w:adjustRightInd w:val="0"/>
        <w:snapToGrid w:val="0"/>
        <w:spacing w:line="360" w:lineRule="auto"/>
        <w:ind w:firstLine="480" w:firstLineChars="200"/>
        <w:rPr>
          <w:sz w:val="24"/>
          <w:szCs w:val="24"/>
        </w:rPr>
      </w:pPr>
      <w:r>
        <w:rPr>
          <w:rFonts w:hAnsi="宋体"/>
          <w:color w:val="auto"/>
          <w:sz w:val="24"/>
          <w:szCs w:val="24"/>
        </w:rPr>
        <w:t>评标采用综合评分法。</w:t>
      </w:r>
      <w:r>
        <w:rPr>
          <w:rFonts w:ascii="宋体" w:hAnsi="宋体"/>
          <w:color w:val="auto"/>
          <w:sz w:val="24"/>
          <w:szCs w:val="24"/>
        </w:rPr>
        <w:t>评标委员会从投标报价</w:t>
      </w:r>
      <w:r>
        <w:rPr>
          <w:rFonts w:ascii="宋体" w:hAnsi="宋体"/>
          <w:sz w:val="24"/>
          <w:szCs w:val="24"/>
        </w:rPr>
        <w:t>、投标人的综合实力、信誉、业绩、售后服务、产品构成、技术性能、质量等方面进行评审</w:t>
      </w:r>
      <w:r>
        <w:rPr>
          <w:rFonts w:hint="eastAsia" w:ascii="宋体" w:hAnsi="宋体"/>
          <w:sz w:val="24"/>
          <w:szCs w:val="24"/>
          <w:lang w:eastAsia="zh-CN"/>
        </w:rPr>
        <w:t>。</w:t>
      </w:r>
      <w:r>
        <w:rPr>
          <w:rFonts w:hAnsi="宋体"/>
          <w:sz w:val="24"/>
          <w:szCs w:val="24"/>
        </w:rPr>
        <w:t>评标委员会根据评审情况，对各投标人的商务报价方面在分值范围内进行统一打分，对各投标人</w:t>
      </w:r>
      <w:bookmarkStart w:id="0" w:name="_GoBack"/>
      <w:bookmarkEnd w:id="0"/>
      <w:r>
        <w:rPr>
          <w:rFonts w:hAnsi="宋体"/>
          <w:sz w:val="24"/>
          <w:szCs w:val="24"/>
        </w:rPr>
        <w:t>的资信商务方面在分值范围内进行统一打分，对各投标人的技术方面在分值范围内进行独立打分。</w:t>
      </w:r>
    </w:p>
    <w:p>
      <w:pPr>
        <w:adjustRightInd w:val="0"/>
        <w:snapToGrid w:val="0"/>
        <w:spacing w:line="360" w:lineRule="auto"/>
        <w:jc w:val="center"/>
        <w:rPr>
          <w:b/>
          <w:sz w:val="24"/>
          <w:szCs w:val="24"/>
        </w:rPr>
      </w:pPr>
      <w:r>
        <w:rPr>
          <w:rFonts w:hAnsi="宋体"/>
          <w:b/>
          <w:sz w:val="24"/>
          <w:szCs w:val="24"/>
        </w:rPr>
        <w:t>每个投标人最终得分</w:t>
      </w:r>
      <w:r>
        <w:rPr>
          <w:b/>
          <w:sz w:val="24"/>
          <w:szCs w:val="24"/>
        </w:rPr>
        <w:t>=</w:t>
      </w:r>
      <w:r>
        <w:rPr>
          <w:rFonts w:hAnsi="宋体"/>
          <w:b/>
          <w:sz w:val="24"/>
          <w:szCs w:val="24"/>
        </w:rPr>
        <w:t>商务报价分</w:t>
      </w:r>
      <w:r>
        <w:rPr>
          <w:b/>
          <w:sz w:val="24"/>
          <w:szCs w:val="24"/>
        </w:rPr>
        <w:t>+</w:t>
      </w:r>
      <w:r>
        <w:rPr>
          <w:rFonts w:hAnsi="宋体"/>
          <w:b/>
          <w:sz w:val="24"/>
          <w:szCs w:val="24"/>
        </w:rPr>
        <w:t>技术分</w:t>
      </w:r>
    </w:p>
    <w:p>
      <w:pPr>
        <w:adjustRightInd w:val="0"/>
        <w:snapToGrid w:val="0"/>
        <w:spacing w:line="360" w:lineRule="auto"/>
        <w:rPr>
          <w:sz w:val="24"/>
          <w:szCs w:val="24"/>
        </w:rPr>
      </w:pPr>
      <w:r>
        <w:rPr>
          <w:rFonts w:hAnsi="宋体"/>
          <w:sz w:val="24"/>
          <w:szCs w:val="24"/>
        </w:rPr>
        <w:t>评标委员会推荐得分最高的投标人为第一中标候选人、得分次高的投标人为第二中标候选人（如果得分相同，则按投标人报价从低到高顺序推荐为中标候选人；如果投标报价也相同，则抽签决定），并编写评标报告</w:t>
      </w:r>
      <w:r>
        <w:rPr>
          <w:rFonts w:hint="eastAsia" w:hAnsi="宋体"/>
          <w:sz w:val="24"/>
          <w:szCs w:val="24"/>
        </w:rPr>
        <w:t>。</w:t>
      </w:r>
    </w:p>
    <w:p>
      <w:pPr>
        <w:spacing w:beforeLines="50" w:afterLines="50" w:line="360" w:lineRule="auto"/>
        <w:rPr>
          <w:b/>
          <w:color w:val="auto"/>
          <w:sz w:val="24"/>
          <w:szCs w:val="24"/>
        </w:rPr>
      </w:pPr>
      <w:r>
        <w:rPr>
          <w:rFonts w:hAnsi="宋体"/>
          <w:b/>
          <w:sz w:val="24"/>
          <w:szCs w:val="24"/>
        </w:rPr>
        <w:t>二</w:t>
      </w:r>
      <w:r>
        <w:rPr>
          <w:rFonts w:hAnsi="宋体"/>
          <w:b/>
          <w:color w:val="auto"/>
          <w:sz w:val="24"/>
          <w:szCs w:val="24"/>
        </w:rPr>
        <w:t>、资格审查</w:t>
      </w:r>
    </w:p>
    <w:p>
      <w:pPr>
        <w:spacing w:beforeLines="50" w:afterLines="50" w:line="360" w:lineRule="auto"/>
        <w:ind w:firstLine="480" w:firstLineChars="200"/>
        <w:rPr>
          <w:color w:val="auto"/>
          <w:sz w:val="24"/>
          <w:szCs w:val="24"/>
        </w:rPr>
      </w:pPr>
      <w:r>
        <w:rPr>
          <w:rFonts w:hAnsi="宋体"/>
          <w:color w:val="auto"/>
          <w:sz w:val="24"/>
          <w:szCs w:val="24"/>
        </w:rPr>
        <w:t>招标人对各投标人的资格进行审查，投标人资格条件不符合</w:t>
      </w:r>
      <w:r>
        <w:rPr>
          <w:rFonts w:hint="eastAsia" w:hAnsi="宋体"/>
          <w:color w:val="auto"/>
          <w:sz w:val="24"/>
          <w:szCs w:val="24"/>
          <w:lang w:eastAsia="zh-CN"/>
        </w:rPr>
        <w:t>比价</w:t>
      </w:r>
      <w:r>
        <w:rPr>
          <w:rFonts w:hint="eastAsia" w:hAnsi="宋体"/>
          <w:color w:val="auto"/>
          <w:sz w:val="24"/>
          <w:szCs w:val="24"/>
        </w:rPr>
        <w:t>采购</w:t>
      </w:r>
      <w:r>
        <w:rPr>
          <w:rFonts w:hAnsi="宋体"/>
          <w:color w:val="auto"/>
          <w:sz w:val="24"/>
          <w:szCs w:val="24"/>
        </w:rPr>
        <w:t>文件要求的投标无效，不再进入符合性审查。</w:t>
      </w:r>
    </w:p>
    <w:p>
      <w:pPr>
        <w:spacing w:beforeLines="50" w:afterLines="50" w:line="360" w:lineRule="auto"/>
        <w:rPr>
          <w:b/>
          <w:bCs/>
          <w:sz w:val="24"/>
          <w:szCs w:val="24"/>
        </w:rPr>
      </w:pPr>
      <w:r>
        <w:rPr>
          <w:rFonts w:hint="eastAsia" w:hAnsi="宋体"/>
          <w:b/>
          <w:bCs/>
          <w:sz w:val="24"/>
          <w:szCs w:val="24"/>
        </w:rPr>
        <w:t>三</w:t>
      </w:r>
      <w:r>
        <w:rPr>
          <w:rFonts w:hAnsi="宋体"/>
          <w:b/>
          <w:bCs/>
          <w:sz w:val="24"/>
          <w:szCs w:val="24"/>
        </w:rPr>
        <w:t>、评审内容及标准</w:t>
      </w:r>
      <w:r>
        <w:rPr>
          <w:b/>
          <w:bCs/>
          <w:sz w:val="24"/>
          <w:szCs w:val="24"/>
        </w:rPr>
        <w:t xml:space="preserve"> </w:t>
      </w:r>
    </w:p>
    <w:p>
      <w:pPr>
        <w:adjustRightInd w:val="0"/>
        <w:snapToGrid w:val="0"/>
        <w:spacing w:line="360" w:lineRule="auto"/>
        <w:rPr>
          <w:b/>
          <w:color w:val="auto"/>
          <w:sz w:val="24"/>
          <w:szCs w:val="24"/>
        </w:rPr>
      </w:pPr>
      <w:r>
        <w:rPr>
          <w:b/>
          <w:color w:val="auto"/>
          <w:sz w:val="24"/>
          <w:szCs w:val="24"/>
        </w:rPr>
        <w:t>1</w:t>
      </w:r>
      <w:r>
        <w:rPr>
          <w:rFonts w:hAnsi="宋体"/>
          <w:b/>
          <w:color w:val="auto"/>
          <w:sz w:val="24"/>
          <w:szCs w:val="24"/>
        </w:rPr>
        <w:t>、</w:t>
      </w:r>
      <w:r>
        <w:rPr>
          <w:rFonts w:hint="eastAsia" w:hAnsi="宋体"/>
          <w:b/>
          <w:color w:val="auto"/>
          <w:sz w:val="24"/>
          <w:szCs w:val="24"/>
        </w:rPr>
        <w:t>商务</w:t>
      </w:r>
      <w:r>
        <w:rPr>
          <w:rFonts w:hAnsi="宋体"/>
          <w:b/>
          <w:color w:val="auto"/>
          <w:sz w:val="24"/>
          <w:szCs w:val="24"/>
        </w:rPr>
        <w:t>技术分（</w:t>
      </w:r>
      <w:r>
        <w:rPr>
          <w:b/>
          <w:color w:val="auto"/>
          <w:sz w:val="24"/>
          <w:szCs w:val="24"/>
        </w:rPr>
        <w:t>8</w:t>
      </w:r>
      <w:r>
        <w:rPr>
          <w:rFonts w:hint="eastAsia"/>
          <w:b/>
          <w:color w:val="auto"/>
          <w:sz w:val="24"/>
          <w:szCs w:val="24"/>
        </w:rPr>
        <w:t>0</w:t>
      </w:r>
      <w:r>
        <w:rPr>
          <w:rFonts w:hAnsi="宋体"/>
          <w:b/>
          <w:color w:val="auto"/>
          <w:sz w:val="24"/>
          <w:szCs w:val="24"/>
        </w:rPr>
        <w:t>分）</w:t>
      </w:r>
    </w:p>
    <w:p>
      <w:pPr>
        <w:adjustRightInd w:val="0"/>
        <w:snapToGrid w:val="0"/>
        <w:spacing w:line="360" w:lineRule="auto"/>
        <w:ind w:firstLine="480" w:firstLineChars="200"/>
        <w:rPr>
          <w:rFonts w:hAnsi="宋体"/>
          <w:color w:val="auto"/>
          <w:sz w:val="24"/>
          <w:szCs w:val="24"/>
        </w:rPr>
      </w:pPr>
      <w:r>
        <w:rPr>
          <w:rFonts w:hAnsi="宋体"/>
          <w:color w:val="auto"/>
          <w:sz w:val="24"/>
          <w:szCs w:val="24"/>
        </w:rPr>
        <w:t>由评标专家负责对投标文件的技术部分采用记名方式各自评分</w:t>
      </w:r>
      <w:r>
        <w:rPr>
          <w:rFonts w:hint="eastAsia" w:hAnsi="宋体"/>
          <w:color w:val="auto"/>
          <w:sz w:val="24"/>
          <w:szCs w:val="24"/>
        </w:rPr>
        <w:t>（小数点后保留1位小数）</w:t>
      </w:r>
      <w:r>
        <w:rPr>
          <w:rFonts w:hAnsi="宋体"/>
          <w:color w:val="auto"/>
          <w:sz w:val="24"/>
          <w:szCs w:val="24"/>
        </w:rPr>
        <w:t>。投标人的最终技术部分的得分为全体评标专家评分的算术平均值。如某一份评分表中某一项评分，超过评分细则所规定的分值范围，则该张打分表无效。</w:t>
      </w:r>
    </w:p>
    <w:p>
      <w:pPr>
        <w:adjustRightInd w:val="0"/>
        <w:snapToGrid w:val="0"/>
        <w:spacing w:line="360" w:lineRule="auto"/>
        <w:ind w:firstLine="480" w:firstLineChars="200"/>
        <w:rPr>
          <w:rFonts w:hAnsi="宋体"/>
          <w:sz w:val="24"/>
          <w:szCs w:val="24"/>
        </w:rPr>
      </w:pPr>
    </w:p>
    <w:p>
      <w:pPr>
        <w:adjustRightInd w:val="0"/>
        <w:snapToGrid w:val="0"/>
        <w:spacing w:line="360" w:lineRule="auto"/>
        <w:ind w:firstLine="480" w:firstLineChars="200"/>
        <w:rPr>
          <w:rFonts w:hAnsi="宋体"/>
          <w:sz w:val="24"/>
          <w:szCs w:val="24"/>
        </w:rPr>
      </w:pPr>
    </w:p>
    <w:tbl>
      <w:tblPr>
        <w:tblStyle w:val="7"/>
        <w:tblW w:w="52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3"/>
        <w:gridCol w:w="915"/>
        <w:gridCol w:w="4974"/>
        <w:gridCol w:w="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blHeader/>
          <w:jc w:val="center"/>
        </w:trPr>
        <w:tc>
          <w:tcPr>
            <w:tcW w:w="4486" w:type="pct"/>
            <w:gridSpan w:val="3"/>
            <w:noWrap w:val="0"/>
            <w:vAlign w:val="center"/>
          </w:tcPr>
          <w:p>
            <w:pPr>
              <w:spacing w:line="360" w:lineRule="auto"/>
              <w:ind w:firstLine="482"/>
              <w:jc w:val="center"/>
              <w:rPr>
                <w:rFonts w:ascii="宋体" w:hAnsi="宋体"/>
                <w:sz w:val="24"/>
                <w:szCs w:val="24"/>
              </w:rPr>
            </w:pPr>
            <w:r>
              <w:rPr>
                <w:rFonts w:ascii="宋体" w:hAnsi="宋体"/>
                <w:sz w:val="24"/>
                <w:szCs w:val="24"/>
              </w:rPr>
              <w:t>评分标准</w:t>
            </w:r>
          </w:p>
        </w:tc>
        <w:tc>
          <w:tcPr>
            <w:tcW w:w="514" w:type="pct"/>
            <w:noWrap w:val="0"/>
            <w:vAlign w:val="center"/>
          </w:tcPr>
          <w:p>
            <w:pPr>
              <w:spacing w:line="360" w:lineRule="auto"/>
              <w:rPr>
                <w:rFonts w:ascii="宋体" w:hAnsi="宋体"/>
                <w:sz w:val="24"/>
                <w:szCs w:val="24"/>
              </w:rPr>
            </w:pPr>
            <w:r>
              <w:rPr>
                <w:rFonts w:ascii="宋体" w:hAnsi="宋体"/>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217" w:type="pct"/>
            <w:noWrap w:val="0"/>
            <w:vAlign w:val="center"/>
          </w:tcPr>
          <w:p>
            <w:pPr>
              <w:spacing w:line="360" w:lineRule="auto"/>
              <w:contextualSpacing/>
              <w:jc w:val="center"/>
              <w:rPr>
                <w:rFonts w:hint="eastAsia" w:ascii="宋体" w:hAnsi="宋体" w:eastAsia="宋体" w:cs="宋体"/>
                <w:kern w:val="0"/>
                <w:sz w:val="21"/>
                <w:szCs w:val="21"/>
              </w:rPr>
            </w:pPr>
            <w:r>
              <w:rPr>
                <w:rFonts w:hint="eastAsia" w:ascii="宋体" w:hAnsi="宋体" w:eastAsia="宋体" w:cs="宋体"/>
                <w:kern w:val="0"/>
                <w:sz w:val="21"/>
                <w:szCs w:val="21"/>
              </w:rPr>
              <w:t>投标人资信</w:t>
            </w:r>
          </w:p>
          <w:p>
            <w:pPr>
              <w:spacing w:line="360" w:lineRule="auto"/>
              <w:contextualSpacing/>
              <w:jc w:val="center"/>
              <w:rPr>
                <w:rFonts w:hint="eastAsia" w:ascii="宋体" w:hAnsi="宋体" w:eastAsia="宋体" w:cs="宋体"/>
                <w:sz w:val="21"/>
                <w:szCs w:val="21"/>
              </w:rPr>
            </w:pPr>
            <w:r>
              <w:rPr>
                <w:rFonts w:hint="eastAsia" w:ascii="宋体" w:hAnsi="宋体" w:eastAsia="宋体" w:cs="宋体"/>
                <w:kern w:val="0"/>
                <w:sz w:val="21"/>
                <w:szCs w:val="21"/>
              </w:rPr>
              <w:t>（0-8分）</w:t>
            </w:r>
          </w:p>
        </w:tc>
        <w:tc>
          <w:tcPr>
            <w:tcW w:w="3269" w:type="pct"/>
            <w:gridSpan w:val="2"/>
            <w:noWrap w:val="0"/>
            <w:vAlign w:val="center"/>
          </w:tcPr>
          <w:p>
            <w:pPr>
              <w:widowControl/>
              <w:numPr>
                <w:ilvl w:val="0"/>
                <w:numId w:val="1"/>
              </w:numPr>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投标人具备高新技术企业证书，得2分；</w:t>
            </w:r>
          </w:p>
          <w:p>
            <w:pPr>
              <w:widowControl/>
              <w:numPr>
                <w:ilvl w:val="0"/>
                <w:numId w:val="1"/>
              </w:numPr>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投标人具有ISO环境管理体系认证，职业健康安全管理体系认证、质量管理体系认证证书，每提供一个得1分；</w:t>
            </w:r>
          </w:p>
          <w:p>
            <w:pPr>
              <w:widowControl/>
              <w:numPr>
                <w:ilvl w:val="0"/>
                <w:numId w:val="1"/>
              </w:numPr>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投标人获得省部级及以上单位颁发的荣誉证书，每提供一个得1分，最高得3分；</w:t>
            </w:r>
          </w:p>
          <w:p>
            <w:pPr>
              <w:widowControl/>
              <w:snapToGrid w:val="0"/>
              <w:spacing w:line="360" w:lineRule="auto"/>
              <w:jc w:val="left"/>
              <w:rPr>
                <w:rFonts w:hint="eastAsia" w:ascii="宋体" w:hAnsi="宋体" w:eastAsia="宋体" w:cs="宋体"/>
                <w:sz w:val="21"/>
                <w:szCs w:val="21"/>
              </w:rPr>
            </w:pPr>
            <w:r>
              <w:rPr>
                <w:rFonts w:hint="eastAsia" w:ascii="宋体" w:hAnsi="宋体" w:eastAsia="宋体" w:cs="宋体"/>
                <w:kern w:val="0"/>
                <w:sz w:val="21"/>
                <w:szCs w:val="21"/>
              </w:rPr>
              <w:t>（</w:t>
            </w:r>
            <w:r>
              <w:rPr>
                <w:rFonts w:hint="eastAsia" w:ascii="宋体" w:hAnsi="宋体" w:eastAsia="宋体" w:cs="宋体"/>
                <w:sz w:val="21"/>
                <w:szCs w:val="21"/>
              </w:rPr>
              <w:t>以上均提供相关证书证明材料复印件并加盖公章）</w:t>
            </w:r>
          </w:p>
        </w:tc>
        <w:tc>
          <w:tcPr>
            <w:tcW w:w="514" w:type="pct"/>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217" w:type="pct"/>
            <w:vMerge w:val="restart"/>
            <w:noWrap w:val="0"/>
            <w:vAlign w:val="center"/>
          </w:tcPr>
          <w:p>
            <w:pPr>
              <w:spacing w:line="360" w:lineRule="auto"/>
              <w:contextualSpacing/>
              <w:jc w:val="center"/>
              <w:rPr>
                <w:rFonts w:hint="eastAsia" w:ascii="宋体" w:hAnsi="宋体" w:eastAsia="宋体" w:cs="宋体"/>
                <w:sz w:val="21"/>
                <w:szCs w:val="21"/>
              </w:rPr>
            </w:pPr>
            <w:r>
              <w:rPr>
                <w:rFonts w:hint="eastAsia" w:ascii="宋体" w:hAnsi="宋体" w:eastAsia="宋体" w:cs="宋体"/>
                <w:sz w:val="21"/>
                <w:szCs w:val="21"/>
              </w:rPr>
              <w:t>检测能力</w:t>
            </w:r>
          </w:p>
          <w:p>
            <w:pPr>
              <w:spacing w:line="360" w:lineRule="auto"/>
              <w:contextualSpacing/>
              <w:jc w:val="center"/>
              <w:rPr>
                <w:rFonts w:hint="eastAsia" w:ascii="宋体" w:hAnsi="宋体" w:eastAsia="宋体" w:cs="宋体"/>
                <w:sz w:val="21"/>
                <w:szCs w:val="21"/>
              </w:rPr>
            </w:pPr>
            <w:r>
              <w:rPr>
                <w:rFonts w:hint="eastAsia" w:ascii="宋体" w:hAnsi="宋体" w:eastAsia="宋体" w:cs="宋体"/>
                <w:sz w:val="21"/>
                <w:szCs w:val="21"/>
              </w:rPr>
              <w:t>（0-10分）</w:t>
            </w:r>
          </w:p>
        </w:tc>
        <w:tc>
          <w:tcPr>
            <w:tcW w:w="3269" w:type="pct"/>
            <w:gridSpan w:val="2"/>
            <w:noWrap w:val="0"/>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根据投标人拟投入设备的专业性、实验室规模、其他硬件设施配置等情况进行评价一般得1分，良好得2-3分，优秀得4-5分；</w:t>
            </w:r>
          </w:p>
          <w:p>
            <w:pPr>
              <w:spacing w:line="360" w:lineRule="auto"/>
              <w:rPr>
                <w:rFonts w:hint="eastAsia" w:ascii="宋体" w:hAnsi="宋体" w:eastAsia="宋体" w:cs="宋体"/>
                <w:sz w:val="21"/>
                <w:szCs w:val="21"/>
              </w:rPr>
            </w:pPr>
            <w:r>
              <w:rPr>
                <w:rFonts w:hint="eastAsia" w:ascii="宋体" w:hAnsi="宋体" w:eastAsia="宋体" w:cs="宋体"/>
                <w:sz w:val="21"/>
                <w:szCs w:val="21"/>
              </w:rPr>
              <w:t>（提供相关证书证明材料复印件）</w:t>
            </w:r>
          </w:p>
        </w:tc>
        <w:tc>
          <w:tcPr>
            <w:tcW w:w="514" w:type="pct"/>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217" w:type="pct"/>
            <w:vMerge w:val="continue"/>
            <w:noWrap w:val="0"/>
            <w:vAlign w:val="center"/>
          </w:tcPr>
          <w:p>
            <w:pPr>
              <w:spacing w:line="360" w:lineRule="auto"/>
              <w:contextualSpacing/>
              <w:jc w:val="center"/>
              <w:rPr>
                <w:rFonts w:hint="eastAsia" w:ascii="宋体" w:hAnsi="宋体" w:eastAsia="宋体" w:cs="宋体"/>
                <w:sz w:val="21"/>
                <w:szCs w:val="21"/>
              </w:rPr>
            </w:pPr>
          </w:p>
        </w:tc>
        <w:tc>
          <w:tcPr>
            <w:tcW w:w="3269" w:type="pct"/>
            <w:gridSpan w:val="2"/>
            <w:noWrap w:val="0"/>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提供近三年全国放射卫生技术机构检测能力考核结果：每 1项考核优秀的得2分，每1项考核合格得1分，本项累计得分不超过5分；</w:t>
            </w:r>
          </w:p>
          <w:p>
            <w:pPr>
              <w:spacing w:line="360" w:lineRule="auto"/>
              <w:rPr>
                <w:rFonts w:hint="eastAsia" w:ascii="宋体" w:hAnsi="宋体" w:eastAsia="宋体" w:cs="宋体"/>
                <w:sz w:val="21"/>
                <w:szCs w:val="21"/>
              </w:rPr>
            </w:pPr>
            <w:r>
              <w:rPr>
                <w:rFonts w:hint="eastAsia" w:ascii="宋体" w:hAnsi="宋体" w:eastAsia="宋体" w:cs="宋体"/>
                <w:kern w:val="0"/>
                <w:sz w:val="21"/>
                <w:szCs w:val="21"/>
              </w:rPr>
              <w:t>（</w:t>
            </w:r>
            <w:r>
              <w:rPr>
                <w:rFonts w:hint="eastAsia" w:ascii="宋体" w:hAnsi="宋体" w:eastAsia="宋体" w:cs="宋体"/>
                <w:sz w:val="21"/>
                <w:szCs w:val="21"/>
              </w:rPr>
              <w:t>提供相关证书证明材料复印件）</w:t>
            </w:r>
          </w:p>
        </w:tc>
        <w:tc>
          <w:tcPr>
            <w:tcW w:w="514" w:type="pct"/>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217" w:type="pct"/>
            <w:vMerge w:val="restart"/>
            <w:shd w:val="clear" w:color="auto" w:fill="auto"/>
            <w:noWrap w:val="0"/>
            <w:vAlign w:val="center"/>
          </w:tcPr>
          <w:p>
            <w:pPr>
              <w:spacing w:line="360" w:lineRule="auto"/>
              <w:ind w:left="-69" w:leftChars="-33" w:firstLine="2"/>
              <w:contextualSpacing/>
              <w:jc w:val="center"/>
              <w:rPr>
                <w:rFonts w:hint="eastAsia" w:ascii="宋体" w:hAnsi="宋体" w:eastAsia="宋体" w:cs="宋体"/>
                <w:sz w:val="21"/>
                <w:szCs w:val="21"/>
              </w:rPr>
            </w:pPr>
            <w:r>
              <w:rPr>
                <w:rFonts w:hint="eastAsia" w:ascii="宋体" w:hAnsi="宋体" w:eastAsia="宋体" w:cs="宋体"/>
                <w:sz w:val="21"/>
                <w:szCs w:val="21"/>
              </w:rPr>
              <w:t>服务团队</w:t>
            </w:r>
          </w:p>
          <w:p>
            <w:pPr>
              <w:spacing w:line="360" w:lineRule="auto"/>
              <w:ind w:left="-69" w:leftChars="-33" w:firstLine="2"/>
              <w:contextualSpacing/>
              <w:jc w:val="center"/>
              <w:rPr>
                <w:rFonts w:hint="eastAsia" w:ascii="宋体" w:hAnsi="宋体" w:eastAsia="宋体" w:cs="宋体"/>
                <w:sz w:val="21"/>
                <w:szCs w:val="21"/>
              </w:rPr>
            </w:pPr>
            <w:r>
              <w:rPr>
                <w:rFonts w:hint="eastAsia" w:ascii="宋体" w:hAnsi="宋体" w:eastAsia="宋体" w:cs="宋体"/>
                <w:sz w:val="21"/>
                <w:szCs w:val="21"/>
              </w:rPr>
              <w:t>（0-</w:t>
            </w:r>
            <w:r>
              <w:rPr>
                <w:rFonts w:hint="eastAsia" w:ascii="宋体" w:hAnsi="宋体" w:cs="宋体"/>
                <w:sz w:val="21"/>
                <w:szCs w:val="21"/>
                <w:lang w:val="en-US" w:eastAsia="zh-CN"/>
              </w:rPr>
              <w:t>17</w:t>
            </w:r>
            <w:r>
              <w:rPr>
                <w:rFonts w:hint="eastAsia" w:ascii="宋体" w:hAnsi="宋体" w:eastAsia="宋体" w:cs="宋体"/>
                <w:sz w:val="21"/>
                <w:szCs w:val="21"/>
              </w:rPr>
              <w:t>分）</w:t>
            </w:r>
          </w:p>
        </w:tc>
        <w:tc>
          <w:tcPr>
            <w:tcW w:w="508" w:type="pct"/>
            <w:shd w:val="clear" w:color="auto" w:fill="auto"/>
            <w:noWrap w:val="0"/>
            <w:vAlign w:val="center"/>
          </w:tcPr>
          <w:p>
            <w:pPr>
              <w:spacing w:line="360" w:lineRule="auto"/>
              <w:ind w:left="-69" w:leftChars="-33" w:firstLine="2"/>
              <w:contextualSpacing/>
              <w:rPr>
                <w:rFonts w:hint="eastAsia" w:ascii="宋体" w:hAnsi="宋体" w:eastAsia="宋体" w:cs="宋体"/>
                <w:sz w:val="21"/>
                <w:szCs w:val="21"/>
              </w:rPr>
            </w:pPr>
            <w:r>
              <w:rPr>
                <w:rFonts w:hint="eastAsia" w:ascii="宋体" w:hAnsi="宋体" w:eastAsia="宋体" w:cs="宋体"/>
                <w:sz w:val="21"/>
                <w:szCs w:val="21"/>
              </w:rPr>
              <w:t>项目负责人</w:t>
            </w:r>
          </w:p>
        </w:tc>
        <w:tc>
          <w:tcPr>
            <w:tcW w:w="2761" w:type="pct"/>
            <w:shd w:val="clear" w:color="auto" w:fill="auto"/>
            <w:noWrap w:val="0"/>
            <w:vAlign w:val="center"/>
          </w:tcPr>
          <w:p>
            <w:pPr>
              <w:spacing w:line="360" w:lineRule="auto"/>
              <w:ind w:left="-69" w:leftChars="-33" w:firstLine="2"/>
              <w:contextualSpacing/>
              <w:rPr>
                <w:rFonts w:hint="eastAsia" w:ascii="宋体" w:hAnsi="宋体" w:eastAsia="宋体" w:cs="宋体"/>
                <w:sz w:val="21"/>
                <w:szCs w:val="21"/>
              </w:rPr>
            </w:pPr>
            <w:r>
              <w:rPr>
                <w:rFonts w:hint="eastAsia" w:ascii="宋体" w:hAnsi="宋体" w:eastAsia="宋体" w:cs="宋体"/>
                <w:sz w:val="21"/>
                <w:szCs w:val="21"/>
              </w:rPr>
              <w:t>具有正高级职称，且为核技术相关专业，得4分；</w:t>
            </w:r>
          </w:p>
          <w:p>
            <w:pPr>
              <w:spacing w:line="360" w:lineRule="auto"/>
              <w:ind w:left="-69" w:leftChars="-33" w:firstLine="2"/>
              <w:contextualSpacing/>
              <w:rPr>
                <w:rFonts w:hint="eastAsia" w:ascii="宋体" w:hAnsi="宋体" w:eastAsia="宋体" w:cs="宋体"/>
                <w:sz w:val="21"/>
                <w:szCs w:val="21"/>
              </w:rPr>
            </w:pPr>
            <w:r>
              <w:rPr>
                <w:rFonts w:hint="eastAsia" w:ascii="宋体" w:hAnsi="宋体" w:eastAsia="宋体" w:cs="宋体"/>
                <w:sz w:val="21"/>
                <w:szCs w:val="21"/>
              </w:rPr>
              <w:t>（需提供证书复印件及本单位社保证明）</w:t>
            </w:r>
          </w:p>
        </w:tc>
        <w:tc>
          <w:tcPr>
            <w:tcW w:w="514" w:type="pct"/>
            <w:shd w:val="clear" w:color="auto" w:fill="auto"/>
            <w:noWrap w:val="0"/>
            <w:vAlign w:val="center"/>
          </w:tcPr>
          <w:p>
            <w:pPr>
              <w:spacing w:line="360" w:lineRule="auto"/>
              <w:ind w:left="-69" w:leftChars="-33" w:firstLine="2"/>
              <w:jc w:val="center"/>
              <w:rPr>
                <w:rFonts w:hint="eastAsia" w:ascii="宋体" w:hAnsi="宋体" w:eastAsia="宋体" w:cs="宋体"/>
                <w:sz w:val="21"/>
                <w:szCs w:val="21"/>
              </w:rPr>
            </w:pPr>
            <w:r>
              <w:rPr>
                <w:rFonts w:hint="eastAsia" w:ascii="宋体" w:hAnsi="宋体" w:eastAsia="宋体" w:cs="宋体"/>
                <w:sz w:val="21"/>
                <w:szCs w:val="21"/>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17" w:type="pct"/>
            <w:vMerge w:val="continue"/>
            <w:shd w:val="clear" w:color="auto" w:fill="auto"/>
            <w:noWrap w:val="0"/>
            <w:vAlign w:val="center"/>
          </w:tcPr>
          <w:p>
            <w:pPr>
              <w:pStyle w:val="6"/>
              <w:spacing w:beforeAutospacing="0" w:afterAutospacing="0" w:line="360" w:lineRule="auto"/>
              <w:jc w:val="center"/>
              <w:rPr>
                <w:rFonts w:hint="eastAsia" w:ascii="宋体" w:hAnsi="宋体" w:eastAsia="宋体" w:cs="宋体"/>
                <w:color w:val="auto"/>
                <w:kern w:val="2"/>
                <w:sz w:val="21"/>
                <w:szCs w:val="21"/>
              </w:rPr>
            </w:pPr>
          </w:p>
        </w:tc>
        <w:tc>
          <w:tcPr>
            <w:tcW w:w="508" w:type="pct"/>
            <w:vMerge w:val="restart"/>
            <w:shd w:val="clear" w:color="auto" w:fill="auto"/>
            <w:noWrap w:val="0"/>
            <w:vAlign w:val="center"/>
          </w:tcPr>
          <w:p>
            <w:pPr>
              <w:spacing w:line="360" w:lineRule="auto"/>
              <w:contextualSpacing/>
              <w:rPr>
                <w:rFonts w:hint="eastAsia" w:ascii="宋体" w:hAnsi="宋体" w:eastAsia="宋体" w:cs="宋体"/>
                <w:sz w:val="21"/>
                <w:szCs w:val="21"/>
              </w:rPr>
            </w:pPr>
            <w:r>
              <w:rPr>
                <w:rFonts w:hint="eastAsia" w:ascii="宋体" w:hAnsi="宋体" w:eastAsia="宋体" w:cs="宋体"/>
                <w:sz w:val="21"/>
                <w:szCs w:val="21"/>
              </w:rPr>
              <w:t>项目组</w:t>
            </w:r>
          </w:p>
          <w:p>
            <w:pPr>
              <w:spacing w:line="360" w:lineRule="auto"/>
              <w:contextualSpacing/>
              <w:rPr>
                <w:rFonts w:hint="eastAsia" w:ascii="宋体" w:hAnsi="宋体" w:eastAsia="宋体" w:cs="宋体"/>
                <w:sz w:val="21"/>
                <w:szCs w:val="21"/>
              </w:rPr>
            </w:pPr>
            <w:r>
              <w:rPr>
                <w:rFonts w:hint="eastAsia" w:ascii="宋体" w:hAnsi="宋体" w:eastAsia="宋体" w:cs="宋体"/>
                <w:sz w:val="21"/>
                <w:szCs w:val="21"/>
              </w:rPr>
              <w:t>成员</w:t>
            </w:r>
          </w:p>
        </w:tc>
        <w:tc>
          <w:tcPr>
            <w:tcW w:w="2761" w:type="pct"/>
            <w:shd w:val="clear" w:color="auto" w:fill="auto"/>
            <w:noWrap w:val="0"/>
            <w:vAlign w:val="center"/>
          </w:tcPr>
          <w:p>
            <w:pPr>
              <w:spacing w:line="360" w:lineRule="auto"/>
              <w:contextualSpacing/>
              <w:rPr>
                <w:rFonts w:hint="eastAsia" w:ascii="宋体" w:hAnsi="宋体" w:eastAsia="宋体" w:cs="宋体"/>
                <w:sz w:val="21"/>
                <w:szCs w:val="21"/>
              </w:rPr>
            </w:pPr>
            <w:r>
              <w:rPr>
                <w:rFonts w:hint="eastAsia" w:ascii="宋体" w:hAnsi="宋体" w:eastAsia="宋体" w:cs="宋体"/>
                <w:sz w:val="21"/>
                <w:szCs w:val="21"/>
              </w:rPr>
              <w:t>具有中级及以上职称，且为核技术相关专业</w:t>
            </w:r>
          </w:p>
          <w:p>
            <w:pPr>
              <w:spacing w:line="360" w:lineRule="auto"/>
              <w:contextualSpacing/>
              <w:rPr>
                <w:rFonts w:hint="eastAsia" w:ascii="宋体" w:hAnsi="宋体" w:eastAsia="宋体" w:cs="宋体"/>
                <w:sz w:val="21"/>
                <w:szCs w:val="21"/>
              </w:rPr>
            </w:pPr>
            <w:r>
              <w:rPr>
                <w:rFonts w:hint="eastAsia" w:ascii="宋体" w:hAnsi="宋体" w:eastAsia="宋体" w:cs="宋体"/>
                <w:sz w:val="21"/>
                <w:szCs w:val="21"/>
              </w:rPr>
              <w:t>具有1-2人，得3分；</w:t>
            </w:r>
          </w:p>
          <w:p>
            <w:pPr>
              <w:spacing w:line="360" w:lineRule="auto"/>
              <w:contextualSpacing/>
              <w:rPr>
                <w:rFonts w:hint="eastAsia" w:ascii="宋体" w:hAnsi="宋体" w:eastAsia="宋体" w:cs="宋体"/>
                <w:sz w:val="21"/>
                <w:szCs w:val="21"/>
              </w:rPr>
            </w:pPr>
            <w:r>
              <w:rPr>
                <w:rFonts w:hint="eastAsia" w:ascii="宋体" w:hAnsi="宋体" w:eastAsia="宋体" w:cs="宋体"/>
                <w:sz w:val="21"/>
                <w:szCs w:val="21"/>
              </w:rPr>
              <w:t>具有3-5人，得5分；</w:t>
            </w:r>
          </w:p>
          <w:p>
            <w:pPr>
              <w:spacing w:line="360" w:lineRule="auto"/>
              <w:contextualSpacing/>
              <w:rPr>
                <w:rFonts w:hint="eastAsia" w:ascii="宋体" w:hAnsi="宋体" w:eastAsia="宋体" w:cs="宋体"/>
                <w:sz w:val="21"/>
                <w:szCs w:val="21"/>
              </w:rPr>
            </w:pPr>
            <w:r>
              <w:rPr>
                <w:rFonts w:hint="eastAsia" w:ascii="宋体" w:hAnsi="宋体" w:eastAsia="宋体" w:cs="宋体"/>
                <w:sz w:val="21"/>
                <w:szCs w:val="21"/>
              </w:rPr>
              <w:t>具有6人及以上，得8分；</w:t>
            </w:r>
          </w:p>
          <w:p>
            <w:pPr>
              <w:spacing w:line="360" w:lineRule="auto"/>
              <w:contextualSpacing/>
              <w:rPr>
                <w:rFonts w:hint="eastAsia" w:ascii="宋体" w:hAnsi="宋体" w:eastAsia="宋体" w:cs="宋体"/>
                <w:sz w:val="21"/>
                <w:szCs w:val="21"/>
              </w:rPr>
            </w:pPr>
            <w:r>
              <w:rPr>
                <w:rFonts w:hint="eastAsia" w:ascii="宋体" w:hAnsi="宋体" w:eastAsia="宋体" w:cs="宋体"/>
                <w:sz w:val="21"/>
                <w:szCs w:val="21"/>
              </w:rPr>
              <w:t>（需提供证书复印件及本单位社保证明）</w:t>
            </w:r>
          </w:p>
        </w:tc>
        <w:tc>
          <w:tcPr>
            <w:tcW w:w="514" w:type="pct"/>
            <w:shd w:val="clear" w:color="auto" w:fill="auto"/>
            <w:noWrap w:val="0"/>
            <w:vAlign w:val="center"/>
          </w:tcPr>
          <w:p>
            <w:pPr>
              <w:spacing w:line="360" w:lineRule="auto"/>
              <w:ind w:left="-69" w:leftChars="-33" w:firstLine="2"/>
              <w:jc w:val="center"/>
              <w:rPr>
                <w:rFonts w:hint="eastAsia" w:ascii="宋体" w:hAnsi="宋体" w:eastAsia="宋体" w:cs="宋体"/>
                <w:sz w:val="21"/>
                <w:szCs w:val="21"/>
              </w:rPr>
            </w:pPr>
            <w:r>
              <w:rPr>
                <w:rFonts w:hint="eastAsia" w:ascii="宋体" w:hAnsi="宋体" w:eastAsia="宋体" w:cs="宋体"/>
                <w:sz w:val="21"/>
                <w:szCs w:val="21"/>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17" w:type="pct"/>
            <w:vMerge w:val="continue"/>
            <w:shd w:val="clear" w:color="auto" w:fill="auto"/>
            <w:noWrap w:val="0"/>
            <w:vAlign w:val="center"/>
          </w:tcPr>
          <w:p>
            <w:pPr>
              <w:pStyle w:val="6"/>
              <w:spacing w:beforeAutospacing="0" w:afterAutospacing="0" w:line="360" w:lineRule="auto"/>
              <w:jc w:val="center"/>
              <w:rPr>
                <w:rFonts w:hint="eastAsia" w:ascii="宋体" w:hAnsi="宋体" w:eastAsia="宋体" w:cs="宋体"/>
                <w:color w:val="auto"/>
                <w:kern w:val="2"/>
                <w:sz w:val="21"/>
                <w:szCs w:val="21"/>
              </w:rPr>
            </w:pPr>
          </w:p>
        </w:tc>
        <w:tc>
          <w:tcPr>
            <w:tcW w:w="508" w:type="pct"/>
            <w:vMerge w:val="continue"/>
            <w:shd w:val="clear" w:color="auto" w:fill="auto"/>
            <w:noWrap w:val="0"/>
            <w:vAlign w:val="center"/>
          </w:tcPr>
          <w:p>
            <w:pPr>
              <w:spacing w:line="360" w:lineRule="auto"/>
              <w:ind w:left="-69" w:leftChars="-33" w:firstLine="2"/>
              <w:contextualSpacing/>
              <w:rPr>
                <w:rFonts w:hint="eastAsia" w:ascii="宋体" w:hAnsi="宋体" w:eastAsia="宋体" w:cs="宋体"/>
                <w:sz w:val="21"/>
                <w:szCs w:val="21"/>
              </w:rPr>
            </w:pPr>
          </w:p>
        </w:tc>
        <w:tc>
          <w:tcPr>
            <w:tcW w:w="2761" w:type="pct"/>
            <w:shd w:val="clear" w:color="auto" w:fill="auto"/>
            <w:noWrap w:val="0"/>
            <w:vAlign w:val="center"/>
          </w:tcPr>
          <w:p>
            <w:pPr>
              <w:spacing w:line="360" w:lineRule="auto"/>
              <w:ind w:left="-69" w:leftChars="-33" w:firstLine="2"/>
              <w:contextualSpacing/>
              <w:rPr>
                <w:rFonts w:hint="eastAsia" w:ascii="宋体" w:hAnsi="宋体" w:eastAsia="宋体" w:cs="宋体"/>
                <w:sz w:val="21"/>
                <w:szCs w:val="21"/>
              </w:rPr>
            </w:pPr>
            <w:r>
              <w:rPr>
                <w:rFonts w:hint="eastAsia" w:ascii="宋体" w:hAnsi="宋体" w:eastAsia="宋体" w:cs="宋体"/>
                <w:sz w:val="21"/>
                <w:szCs w:val="21"/>
              </w:rPr>
              <w:t>近5年内参加过中国疾控组织的检测与评价培训并取得合格证书，每提供1人得</w:t>
            </w:r>
            <w:r>
              <w:rPr>
                <w:rFonts w:hint="eastAsia" w:ascii="宋体" w:hAnsi="宋体" w:cs="宋体"/>
                <w:sz w:val="21"/>
                <w:szCs w:val="21"/>
                <w:lang w:val="en-US" w:eastAsia="zh-CN"/>
              </w:rPr>
              <w:t>1</w:t>
            </w:r>
            <w:r>
              <w:rPr>
                <w:rFonts w:hint="eastAsia" w:ascii="宋体" w:hAnsi="宋体" w:eastAsia="宋体" w:cs="宋体"/>
                <w:sz w:val="21"/>
                <w:szCs w:val="21"/>
              </w:rPr>
              <w:t>分，最高得</w:t>
            </w:r>
            <w:r>
              <w:rPr>
                <w:rFonts w:hint="eastAsia" w:ascii="宋体" w:hAnsi="宋体" w:cs="宋体"/>
                <w:sz w:val="21"/>
                <w:szCs w:val="21"/>
                <w:lang w:val="en-US" w:eastAsia="zh-CN"/>
              </w:rPr>
              <w:t>5</w:t>
            </w:r>
            <w:r>
              <w:rPr>
                <w:rFonts w:hint="eastAsia" w:ascii="宋体" w:hAnsi="宋体" w:eastAsia="宋体" w:cs="宋体"/>
                <w:sz w:val="21"/>
                <w:szCs w:val="21"/>
              </w:rPr>
              <w:t>分；</w:t>
            </w:r>
          </w:p>
          <w:p>
            <w:pPr>
              <w:spacing w:line="360" w:lineRule="auto"/>
              <w:ind w:left="-69" w:leftChars="-33" w:firstLine="2"/>
              <w:contextualSpacing/>
              <w:rPr>
                <w:rFonts w:hint="eastAsia" w:ascii="宋体" w:hAnsi="宋体" w:eastAsia="宋体" w:cs="宋体"/>
                <w:sz w:val="21"/>
                <w:szCs w:val="21"/>
              </w:rPr>
            </w:pPr>
            <w:r>
              <w:rPr>
                <w:rFonts w:hint="eastAsia" w:ascii="宋体" w:hAnsi="宋体" w:eastAsia="宋体" w:cs="宋体"/>
                <w:sz w:val="21"/>
                <w:szCs w:val="21"/>
              </w:rPr>
              <w:t>（需提供证书复印件及本单位社保证明）</w:t>
            </w:r>
          </w:p>
        </w:tc>
        <w:tc>
          <w:tcPr>
            <w:tcW w:w="514" w:type="pct"/>
            <w:shd w:val="clear" w:color="auto" w:fill="auto"/>
            <w:noWrap w:val="0"/>
            <w:vAlign w:val="center"/>
          </w:tcPr>
          <w:p>
            <w:pPr>
              <w:spacing w:line="360" w:lineRule="auto"/>
              <w:ind w:left="-69" w:leftChars="-33" w:firstLine="2"/>
              <w:jc w:val="center"/>
              <w:rPr>
                <w:rFonts w:hint="eastAsia" w:ascii="宋体" w:hAnsi="宋体" w:eastAsia="宋体" w:cs="宋体"/>
                <w:sz w:val="21"/>
                <w:szCs w:val="21"/>
              </w:rPr>
            </w:pPr>
            <w:r>
              <w:rPr>
                <w:rFonts w:hint="eastAsia" w:ascii="宋体" w:hAnsi="宋体" w:eastAsia="宋体" w:cs="宋体"/>
                <w:sz w:val="21"/>
                <w:szCs w:val="21"/>
              </w:rPr>
              <w:t>0-</w:t>
            </w:r>
            <w:r>
              <w:rPr>
                <w:rFonts w:hint="eastAsia" w:ascii="宋体" w:hAnsi="宋体" w:cs="宋体"/>
                <w:sz w:val="21"/>
                <w:szCs w:val="21"/>
                <w:lang w:val="en-US" w:eastAsia="zh-CN"/>
              </w:rPr>
              <w:t>5</w:t>
            </w:r>
            <w:r>
              <w:rPr>
                <w:rFonts w:hint="eastAsia" w:ascii="宋体" w:hAnsi="宋体" w:eastAsia="宋体" w:cs="宋体"/>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17" w:type="pct"/>
            <w:shd w:val="clear" w:color="auto" w:fill="auto"/>
            <w:noWrap w:val="0"/>
            <w:vAlign w:val="center"/>
          </w:tcPr>
          <w:p>
            <w:pPr>
              <w:spacing w:line="360" w:lineRule="auto"/>
              <w:ind w:left="-69" w:leftChars="-33" w:firstLine="2"/>
              <w:contextualSpacing/>
              <w:jc w:val="center"/>
              <w:rPr>
                <w:rFonts w:hint="eastAsia" w:ascii="宋体" w:hAnsi="宋体" w:eastAsia="宋体" w:cs="宋体"/>
                <w:sz w:val="21"/>
                <w:szCs w:val="21"/>
              </w:rPr>
            </w:pPr>
            <w:r>
              <w:rPr>
                <w:rFonts w:hint="eastAsia" w:ascii="宋体" w:hAnsi="宋体" w:eastAsia="宋体" w:cs="宋体"/>
                <w:sz w:val="21"/>
                <w:szCs w:val="21"/>
              </w:rPr>
              <w:t>同类业绩</w:t>
            </w:r>
          </w:p>
          <w:p>
            <w:pPr>
              <w:spacing w:line="360" w:lineRule="auto"/>
              <w:ind w:left="-69" w:leftChars="-33" w:firstLine="2"/>
              <w:contextualSpacing/>
              <w:jc w:val="center"/>
              <w:rPr>
                <w:rFonts w:hint="eastAsia" w:ascii="宋体" w:hAnsi="宋体" w:eastAsia="宋体" w:cs="宋体"/>
                <w:sz w:val="21"/>
                <w:szCs w:val="21"/>
              </w:rPr>
            </w:pPr>
            <w:r>
              <w:rPr>
                <w:rFonts w:hint="eastAsia" w:ascii="宋体" w:hAnsi="宋体" w:eastAsia="宋体" w:cs="宋体"/>
                <w:sz w:val="21"/>
                <w:szCs w:val="21"/>
              </w:rPr>
              <w:t>（0-10分）</w:t>
            </w:r>
          </w:p>
        </w:tc>
        <w:tc>
          <w:tcPr>
            <w:tcW w:w="3269" w:type="pct"/>
            <w:gridSpan w:val="2"/>
            <w:shd w:val="clear" w:color="auto" w:fill="auto"/>
            <w:noWrap w:val="0"/>
            <w:vAlign w:val="center"/>
          </w:tcPr>
          <w:p>
            <w:pPr>
              <w:spacing w:line="360" w:lineRule="auto"/>
              <w:ind w:left="-69" w:leftChars="-33" w:firstLine="2"/>
              <w:contextualSpacing/>
              <w:rPr>
                <w:rFonts w:hint="eastAsia" w:ascii="宋体" w:hAnsi="宋体" w:eastAsia="宋体" w:cs="宋体"/>
                <w:sz w:val="21"/>
                <w:szCs w:val="21"/>
              </w:rPr>
            </w:pPr>
            <w:r>
              <w:rPr>
                <w:rFonts w:hint="eastAsia" w:ascii="宋体" w:hAnsi="宋体" w:eastAsia="宋体" w:cs="宋体"/>
                <w:sz w:val="21"/>
                <w:szCs w:val="21"/>
              </w:rPr>
              <w:t>提供评价业绩内容须包含放射治疗和核医学职业病危害放射防护控制效果评价，每提供一个业绩得1分，最高得10分；</w:t>
            </w:r>
          </w:p>
          <w:p>
            <w:pPr>
              <w:spacing w:line="360" w:lineRule="auto"/>
              <w:ind w:left="-69" w:leftChars="-33" w:firstLine="2"/>
              <w:contextualSpacing/>
              <w:rPr>
                <w:rFonts w:hint="eastAsia" w:ascii="宋体" w:hAnsi="宋体" w:eastAsia="宋体" w:cs="宋体"/>
                <w:sz w:val="21"/>
                <w:szCs w:val="21"/>
              </w:rPr>
            </w:pPr>
            <w:r>
              <w:rPr>
                <w:rFonts w:hint="eastAsia" w:ascii="宋体" w:hAnsi="宋体" w:eastAsia="宋体" w:cs="宋体"/>
                <w:sz w:val="21"/>
                <w:szCs w:val="21"/>
              </w:rPr>
              <w:t>（须在投标文件中提供合同复印件加盖供应商公章，合同未能体现评审要素的须附相应的佐证资料）</w:t>
            </w:r>
          </w:p>
        </w:tc>
        <w:tc>
          <w:tcPr>
            <w:tcW w:w="514" w:type="pct"/>
            <w:shd w:val="clear" w:color="auto" w:fill="auto"/>
            <w:noWrap w:val="0"/>
            <w:vAlign w:val="center"/>
          </w:tcPr>
          <w:p>
            <w:pPr>
              <w:spacing w:line="360" w:lineRule="auto"/>
              <w:ind w:left="-69" w:leftChars="-33" w:firstLine="2"/>
              <w:jc w:val="center"/>
              <w:rPr>
                <w:rFonts w:hint="eastAsia" w:ascii="宋体" w:hAnsi="宋体" w:eastAsia="宋体" w:cs="宋体"/>
                <w:sz w:val="21"/>
                <w:szCs w:val="21"/>
              </w:rPr>
            </w:pPr>
            <w:r>
              <w:rPr>
                <w:rFonts w:hint="eastAsia" w:ascii="宋体" w:hAnsi="宋体" w:eastAsia="宋体" w:cs="宋体"/>
                <w:sz w:val="21"/>
                <w:szCs w:val="21"/>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17" w:type="pct"/>
            <w:vMerge w:val="restart"/>
            <w:shd w:val="clear" w:color="auto" w:fill="auto"/>
            <w:noWrap w:val="0"/>
            <w:vAlign w:val="center"/>
          </w:tcPr>
          <w:p>
            <w:pPr>
              <w:pStyle w:val="6"/>
              <w:spacing w:beforeAutospacing="0" w:afterAutospacing="0" w:line="36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实施方案</w:t>
            </w:r>
          </w:p>
          <w:p>
            <w:pPr>
              <w:pStyle w:val="6"/>
              <w:spacing w:beforeAutospacing="0" w:afterAutospacing="0" w:line="36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（0-15分）</w:t>
            </w:r>
          </w:p>
        </w:tc>
        <w:tc>
          <w:tcPr>
            <w:tcW w:w="3269" w:type="pct"/>
            <w:gridSpan w:val="2"/>
            <w:shd w:val="clear" w:color="auto" w:fill="auto"/>
            <w:noWrap w:val="0"/>
            <w:vAlign w:val="center"/>
          </w:tcPr>
          <w:p>
            <w:pPr>
              <w:spacing w:line="360" w:lineRule="auto"/>
              <w:ind w:right="-21" w:rightChars="-10"/>
              <w:jc w:val="left"/>
              <w:rPr>
                <w:rFonts w:hint="eastAsia" w:ascii="宋体" w:hAnsi="宋体" w:eastAsia="宋体" w:cs="宋体"/>
                <w:sz w:val="21"/>
                <w:szCs w:val="21"/>
              </w:rPr>
            </w:pPr>
            <w:r>
              <w:rPr>
                <w:rFonts w:hint="eastAsia" w:ascii="宋体" w:hAnsi="宋体" w:eastAsia="宋体" w:cs="宋体"/>
                <w:sz w:val="21"/>
                <w:szCs w:val="21"/>
              </w:rPr>
              <w:t>针对本项目的具体实施方案进行综合评价；</w:t>
            </w:r>
          </w:p>
        </w:tc>
        <w:tc>
          <w:tcPr>
            <w:tcW w:w="514" w:type="pct"/>
            <w:shd w:val="clear" w:color="auto" w:fill="auto"/>
            <w:noWrap w:val="0"/>
            <w:vAlign w:val="center"/>
          </w:tcPr>
          <w:p>
            <w:pPr>
              <w:spacing w:line="360" w:lineRule="auto"/>
              <w:ind w:left="-69" w:leftChars="-33" w:firstLine="2"/>
              <w:jc w:val="center"/>
              <w:rPr>
                <w:rFonts w:hint="eastAsia" w:ascii="宋体" w:hAnsi="宋体" w:eastAsia="宋体" w:cs="宋体"/>
                <w:sz w:val="21"/>
                <w:szCs w:val="21"/>
              </w:rPr>
            </w:pPr>
            <w:r>
              <w:rPr>
                <w:rFonts w:hint="eastAsia" w:ascii="宋体" w:hAnsi="宋体" w:eastAsia="宋体" w:cs="宋体"/>
                <w:sz w:val="21"/>
                <w:szCs w:val="21"/>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217" w:type="pct"/>
            <w:vMerge w:val="continue"/>
            <w:shd w:val="clear" w:color="auto" w:fill="auto"/>
            <w:noWrap w:val="0"/>
            <w:vAlign w:val="center"/>
          </w:tcPr>
          <w:p>
            <w:pPr>
              <w:pStyle w:val="6"/>
              <w:spacing w:beforeAutospacing="0" w:afterAutospacing="0" w:line="360" w:lineRule="auto"/>
              <w:jc w:val="center"/>
              <w:rPr>
                <w:rFonts w:hint="eastAsia" w:ascii="宋体" w:hAnsi="宋体" w:eastAsia="宋体" w:cs="宋体"/>
                <w:color w:val="auto"/>
                <w:kern w:val="2"/>
                <w:sz w:val="21"/>
                <w:szCs w:val="21"/>
              </w:rPr>
            </w:pPr>
          </w:p>
        </w:tc>
        <w:tc>
          <w:tcPr>
            <w:tcW w:w="3269" w:type="pct"/>
            <w:gridSpan w:val="2"/>
            <w:shd w:val="clear" w:color="auto" w:fill="auto"/>
            <w:noWrap w:val="0"/>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对本项目评价服务工作的进度计划；</w:t>
            </w:r>
          </w:p>
        </w:tc>
        <w:tc>
          <w:tcPr>
            <w:tcW w:w="514" w:type="pct"/>
            <w:shd w:val="clear" w:color="auto" w:fill="auto"/>
            <w:noWrap w:val="0"/>
            <w:vAlign w:val="center"/>
          </w:tcPr>
          <w:p>
            <w:pPr>
              <w:spacing w:line="360" w:lineRule="auto"/>
              <w:ind w:left="-69" w:leftChars="-33" w:firstLine="2"/>
              <w:jc w:val="center"/>
              <w:rPr>
                <w:rFonts w:hint="eastAsia" w:ascii="宋体" w:hAnsi="宋体" w:eastAsia="宋体" w:cs="宋体"/>
                <w:sz w:val="21"/>
                <w:szCs w:val="21"/>
              </w:rPr>
            </w:pPr>
            <w:r>
              <w:rPr>
                <w:rFonts w:hint="eastAsia" w:ascii="宋体" w:hAnsi="宋体" w:eastAsia="宋体" w:cs="宋体"/>
                <w:sz w:val="21"/>
                <w:szCs w:val="21"/>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217" w:type="pct"/>
            <w:vMerge w:val="continue"/>
            <w:shd w:val="clear" w:color="auto" w:fill="auto"/>
            <w:noWrap w:val="0"/>
            <w:vAlign w:val="center"/>
          </w:tcPr>
          <w:p>
            <w:pPr>
              <w:pStyle w:val="6"/>
              <w:spacing w:beforeAutospacing="0" w:afterAutospacing="0" w:line="360" w:lineRule="auto"/>
              <w:jc w:val="center"/>
              <w:rPr>
                <w:rFonts w:hint="eastAsia" w:ascii="宋体" w:hAnsi="宋体" w:eastAsia="宋体" w:cs="宋体"/>
                <w:color w:val="auto"/>
                <w:kern w:val="2"/>
                <w:sz w:val="21"/>
                <w:szCs w:val="21"/>
              </w:rPr>
            </w:pPr>
          </w:p>
        </w:tc>
        <w:tc>
          <w:tcPr>
            <w:tcW w:w="3269" w:type="pct"/>
            <w:gridSpan w:val="2"/>
            <w:shd w:val="clear" w:color="auto" w:fill="auto"/>
            <w:noWrap w:val="0"/>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对本项目评价服务工作的质量保证措施；</w:t>
            </w:r>
          </w:p>
        </w:tc>
        <w:tc>
          <w:tcPr>
            <w:tcW w:w="514" w:type="pct"/>
            <w:shd w:val="clear" w:color="auto" w:fill="auto"/>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217" w:type="pct"/>
            <w:shd w:val="clear" w:color="auto" w:fill="auto"/>
            <w:noWrap w:val="0"/>
            <w:vAlign w:val="center"/>
          </w:tcPr>
          <w:p>
            <w:pPr>
              <w:pStyle w:val="6"/>
              <w:spacing w:beforeAutospacing="0" w:afterAutospacing="0" w:line="36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售后服务承诺</w:t>
            </w:r>
          </w:p>
          <w:p>
            <w:pPr>
              <w:pStyle w:val="6"/>
              <w:spacing w:beforeAutospacing="0" w:afterAutospacing="0" w:line="36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（0-5分）</w:t>
            </w:r>
          </w:p>
        </w:tc>
        <w:tc>
          <w:tcPr>
            <w:tcW w:w="3269" w:type="pct"/>
            <w:gridSpan w:val="2"/>
            <w:shd w:val="clear" w:color="auto" w:fill="auto"/>
            <w:noWrap w:val="0"/>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针对本项目提出售后服务措施及承诺；</w:t>
            </w:r>
          </w:p>
        </w:tc>
        <w:tc>
          <w:tcPr>
            <w:tcW w:w="514" w:type="pct"/>
            <w:shd w:val="clear" w:color="auto" w:fill="auto"/>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17" w:type="pct"/>
            <w:shd w:val="clear" w:color="auto" w:fill="auto"/>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应急服务方案</w:t>
            </w:r>
          </w:p>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（0-5分）</w:t>
            </w:r>
          </w:p>
        </w:tc>
        <w:tc>
          <w:tcPr>
            <w:tcW w:w="3269" w:type="pct"/>
            <w:gridSpan w:val="2"/>
            <w:shd w:val="clear" w:color="auto" w:fill="auto"/>
            <w:noWrap w:val="0"/>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针对实施过程中紧急或特殊情况的应急响应情况；</w:t>
            </w:r>
          </w:p>
        </w:tc>
        <w:tc>
          <w:tcPr>
            <w:tcW w:w="514" w:type="pct"/>
            <w:shd w:val="clear" w:color="auto" w:fill="auto"/>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17" w:type="pct"/>
            <w:shd w:val="clear" w:color="auto" w:fill="auto"/>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其他优惠条件</w:t>
            </w:r>
          </w:p>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（0-5分）</w:t>
            </w:r>
          </w:p>
        </w:tc>
        <w:tc>
          <w:tcPr>
            <w:tcW w:w="3269" w:type="pct"/>
            <w:gridSpan w:val="2"/>
            <w:shd w:val="clear" w:color="auto" w:fill="auto"/>
            <w:noWrap w:val="0"/>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针对本项目提出的优惠条件；</w:t>
            </w:r>
          </w:p>
        </w:tc>
        <w:tc>
          <w:tcPr>
            <w:tcW w:w="514" w:type="pct"/>
            <w:shd w:val="clear" w:color="auto" w:fill="auto"/>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17" w:type="pct"/>
            <w:shd w:val="clear" w:color="auto" w:fill="auto"/>
            <w:noWrap w:val="0"/>
            <w:vAlign w:val="center"/>
          </w:tcPr>
          <w:p>
            <w:pPr>
              <w:widowControl/>
              <w:snapToGrid w:val="0"/>
              <w:spacing w:line="360" w:lineRule="auto"/>
              <w:jc w:val="center"/>
              <w:rPr>
                <w:rFonts w:hint="eastAsia" w:ascii="宋体" w:hAnsi="宋体" w:eastAsia="宋体" w:cs="宋体"/>
                <w:bCs/>
                <w:sz w:val="21"/>
                <w:szCs w:val="21"/>
              </w:rPr>
            </w:pPr>
            <w:r>
              <w:rPr>
                <w:rFonts w:hint="eastAsia" w:ascii="宋体" w:hAnsi="宋体" w:eastAsia="宋体" w:cs="宋体"/>
                <w:bCs/>
                <w:sz w:val="21"/>
                <w:szCs w:val="21"/>
              </w:rPr>
              <w:t>响应文件制作情况</w:t>
            </w:r>
          </w:p>
          <w:p>
            <w:pPr>
              <w:widowControl/>
              <w:snapToGrid w:val="0"/>
              <w:spacing w:line="360" w:lineRule="auto"/>
              <w:jc w:val="center"/>
              <w:rPr>
                <w:rFonts w:hint="eastAsia" w:ascii="宋体" w:hAnsi="宋体" w:eastAsia="宋体" w:cs="宋体"/>
                <w:kern w:val="0"/>
                <w:sz w:val="21"/>
                <w:szCs w:val="21"/>
              </w:rPr>
            </w:pPr>
            <w:r>
              <w:rPr>
                <w:rFonts w:hint="eastAsia" w:ascii="宋体" w:hAnsi="宋体" w:eastAsia="宋体" w:cs="宋体"/>
                <w:bCs/>
                <w:sz w:val="21"/>
                <w:szCs w:val="21"/>
              </w:rPr>
              <w:t>（0-5分）</w:t>
            </w:r>
          </w:p>
        </w:tc>
        <w:tc>
          <w:tcPr>
            <w:tcW w:w="3269" w:type="pct"/>
            <w:gridSpan w:val="2"/>
            <w:shd w:val="clear" w:color="auto" w:fill="auto"/>
            <w:noWrap w:val="0"/>
            <w:vAlign w:val="center"/>
          </w:tcPr>
          <w:p>
            <w:pPr>
              <w:widowControl/>
              <w:snapToGrid w:val="0"/>
              <w:spacing w:line="360" w:lineRule="auto"/>
              <w:jc w:val="left"/>
              <w:rPr>
                <w:rFonts w:hint="eastAsia" w:ascii="宋体" w:hAnsi="宋体" w:eastAsia="宋体" w:cs="宋体"/>
                <w:kern w:val="0"/>
                <w:sz w:val="21"/>
                <w:szCs w:val="21"/>
              </w:rPr>
            </w:pPr>
            <w:r>
              <w:rPr>
                <w:rFonts w:hint="eastAsia" w:ascii="宋体" w:hAnsi="宋体" w:eastAsia="宋体" w:cs="宋体"/>
                <w:bCs/>
                <w:sz w:val="21"/>
                <w:szCs w:val="21"/>
              </w:rPr>
              <w:t>综合评审各响应文件重点是否清晰、材料是否全面、编排是否合理、评审内容查找是否便捷。</w:t>
            </w:r>
          </w:p>
        </w:tc>
        <w:tc>
          <w:tcPr>
            <w:tcW w:w="514" w:type="pct"/>
            <w:shd w:val="clear" w:color="auto" w:fill="auto"/>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0-5分</w:t>
            </w:r>
          </w:p>
        </w:tc>
      </w:tr>
    </w:tbl>
    <w:p>
      <w:pPr>
        <w:adjustRightInd w:val="0"/>
        <w:snapToGrid w:val="0"/>
        <w:spacing w:line="360" w:lineRule="auto"/>
        <w:ind w:firstLine="480" w:firstLineChars="200"/>
        <w:rPr>
          <w:rFonts w:hAnsi="宋体"/>
          <w:sz w:val="24"/>
          <w:szCs w:val="24"/>
        </w:rPr>
      </w:pPr>
    </w:p>
    <w:p>
      <w:pPr>
        <w:adjustRightInd w:val="0"/>
        <w:snapToGrid w:val="0"/>
        <w:spacing w:line="360" w:lineRule="auto"/>
        <w:jc w:val="left"/>
        <w:rPr>
          <w:b/>
          <w:color w:val="auto"/>
          <w:sz w:val="24"/>
          <w:szCs w:val="24"/>
        </w:rPr>
      </w:pPr>
      <w:r>
        <w:rPr>
          <w:b/>
          <w:color w:val="auto"/>
          <w:sz w:val="24"/>
          <w:szCs w:val="24"/>
        </w:rPr>
        <w:t>2</w:t>
      </w:r>
      <w:r>
        <w:rPr>
          <w:rFonts w:hAnsi="宋体"/>
          <w:b/>
          <w:color w:val="auto"/>
          <w:sz w:val="24"/>
          <w:szCs w:val="24"/>
        </w:rPr>
        <w:t>、</w:t>
      </w:r>
      <w:r>
        <w:rPr>
          <w:rFonts w:hint="eastAsia" w:hAnsi="宋体"/>
          <w:b/>
          <w:color w:val="auto"/>
          <w:sz w:val="24"/>
          <w:szCs w:val="24"/>
        </w:rPr>
        <w:t>价格</w:t>
      </w:r>
      <w:r>
        <w:rPr>
          <w:rFonts w:hAnsi="宋体"/>
          <w:b/>
          <w:color w:val="auto"/>
          <w:sz w:val="24"/>
          <w:szCs w:val="24"/>
        </w:rPr>
        <w:t>分（</w:t>
      </w:r>
      <w:r>
        <w:rPr>
          <w:rFonts w:hint="eastAsia"/>
          <w:b/>
          <w:color w:val="auto"/>
          <w:sz w:val="24"/>
          <w:szCs w:val="24"/>
        </w:rPr>
        <w:t>20</w:t>
      </w:r>
      <w:r>
        <w:rPr>
          <w:rFonts w:hAnsi="宋体"/>
          <w:b/>
          <w:color w:val="auto"/>
          <w:sz w:val="24"/>
          <w:szCs w:val="24"/>
        </w:rPr>
        <w:t>分）</w:t>
      </w:r>
    </w:p>
    <w:p>
      <w:pPr>
        <w:tabs>
          <w:tab w:val="right" w:pos="8731"/>
        </w:tabs>
        <w:spacing w:beforeLines="50" w:afterLines="50" w:line="360" w:lineRule="auto"/>
        <w:rPr>
          <w:b/>
          <w:bCs/>
          <w:color w:val="auto"/>
          <w:sz w:val="24"/>
        </w:rPr>
      </w:pPr>
      <w:r>
        <w:rPr>
          <w:rFonts w:hAnsi="宋体"/>
          <w:b/>
          <w:bCs/>
          <w:color w:val="auto"/>
          <w:sz w:val="24"/>
        </w:rPr>
        <w:t>（</w:t>
      </w:r>
      <w:r>
        <w:rPr>
          <w:b/>
          <w:bCs/>
          <w:color w:val="auto"/>
          <w:sz w:val="24"/>
        </w:rPr>
        <w:t>1</w:t>
      </w:r>
      <w:r>
        <w:rPr>
          <w:rFonts w:hAnsi="宋体"/>
          <w:b/>
          <w:bCs/>
          <w:color w:val="auto"/>
          <w:sz w:val="24"/>
        </w:rPr>
        <w:t>）</w:t>
      </w:r>
      <w:r>
        <w:rPr>
          <w:rFonts w:hAnsi="宋体"/>
          <w:b/>
          <w:color w:val="auto"/>
          <w:sz w:val="24"/>
        </w:rPr>
        <w:t>职业病危害放射防护预评价、职业病危害控制效果放射防护评价、放射诊疗设备质量控制检测及工作场所防护检测</w:t>
      </w:r>
      <w:r>
        <w:rPr>
          <w:rFonts w:hAnsi="宋体"/>
          <w:b/>
          <w:bCs/>
          <w:color w:val="auto"/>
          <w:sz w:val="24"/>
        </w:rPr>
        <w:t>（</w:t>
      </w:r>
      <w:r>
        <w:rPr>
          <w:rFonts w:hint="eastAsia"/>
          <w:b/>
          <w:bCs/>
          <w:color w:val="auto"/>
          <w:sz w:val="24"/>
        </w:rPr>
        <w:t>20</w:t>
      </w:r>
      <w:r>
        <w:rPr>
          <w:rFonts w:hAnsi="宋体"/>
          <w:b/>
          <w:bCs/>
          <w:color w:val="auto"/>
          <w:sz w:val="24"/>
        </w:rPr>
        <w:t>分）</w:t>
      </w:r>
      <w:r>
        <w:rPr>
          <w:b/>
          <w:bCs/>
          <w:color w:val="auto"/>
          <w:sz w:val="24"/>
        </w:rPr>
        <w:tab/>
      </w:r>
    </w:p>
    <w:p>
      <w:pPr>
        <w:pStyle w:val="2"/>
        <w:spacing w:beforeLines="50" w:afterLines="50" w:line="360" w:lineRule="auto"/>
        <w:ind w:left="0" w:leftChars="0" w:firstLine="480" w:firstLineChars="200"/>
        <w:jc w:val="left"/>
        <w:rPr>
          <w:color w:val="auto"/>
          <w:sz w:val="24"/>
          <w:szCs w:val="24"/>
        </w:rPr>
      </w:pPr>
      <w:r>
        <w:rPr>
          <w:rFonts w:hAnsi="宋体"/>
          <w:color w:val="auto"/>
          <w:sz w:val="24"/>
          <w:szCs w:val="24"/>
        </w:rPr>
        <w:t>价格分采用低价优先法计算，即满足</w:t>
      </w:r>
      <w:r>
        <w:rPr>
          <w:rFonts w:hint="eastAsia" w:hAnsi="宋体"/>
          <w:color w:val="auto"/>
          <w:sz w:val="24"/>
          <w:szCs w:val="24"/>
          <w:lang w:eastAsia="zh-CN"/>
        </w:rPr>
        <w:t>比价</w:t>
      </w:r>
      <w:r>
        <w:rPr>
          <w:rFonts w:hint="eastAsia" w:hAnsi="宋体"/>
          <w:color w:val="auto"/>
          <w:sz w:val="24"/>
          <w:szCs w:val="24"/>
        </w:rPr>
        <w:t>采购</w:t>
      </w:r>
      <w:r>
        <w:rPr>
          <w:rFonts w:hAnsi="宋体"/>
          <w:color w:val="auto"/>
          <w:sz w:val="24"/>
          <w:szCs w:val="24"/>
        </w:rPr>
        <w:t>文件要求且投标价格最低的投标报价为评标基准价，其价格分为满分。其他投标人的价格分按照下列公式计算：</w:t>
      </w:r>
    </w:p>
    <w:p>
      <w:pPr>
        <w:adjustRightInd w:val="0"/>
        <w:snapToGrid w:val="0"/>
        <w:spacing w:line="360" w:lineRule="auto"/>
        <w:ind w:firstLine="482" w:firstLineChars="200"/>
        <w:jc w:val="center"/>
        <w:rPr>
          <w:b/>
          <w:color w:val="auto"/>
          <w:sz w:val="24"/>
          <w:szCs w:val="24"/>
        </w:rPr>
      </w:pPr>
      <w:r>
        <w:rPr>
          <w:rFonts w:hint="eastAsia" w:hAnsi="宋体"/>
          <w:b/>
          <w:color w:val="auto"/>
          <w:sz w:val="24"/>
          <w:szCs w:val="24"/>
        </w:rPr>
        <w:t>投标</w:t>
      </w:r>
      <w:r>
        <w:rPr>
          <w:rFonts w:hAnsi="宋体"/>
          <w:b/>
          <w:color w:val="auto"/>
          <w:sz w:val="24"/>
          <w:szCs w:val="24"/>
        </w:rPr>
        <w:t>报价得分</w:t>
      </w:r>
      <w:r>
        <w:rPr>
          <w:b/>
          <w:color w:val="auto"/>
          <w:sz w:val="24"/>
          <w:szCs w:val="24"/>
        </w:rPr>
        <w:t>=</w:t>
      </w:r>
      <w:r>
        <w:rPr>
          <w:rFonts w:hAnsi="宋体"/>
          <w:b/>
          <w:color w:val="auto"/>
          <w:sz w:val="24"/>
          <w:szCs w:val="24"/>
        </w:rPr>
        <w:t>（评标基准价</w:t>
      </w:r>
      <w:r>
        <w:rPr>
          <w:b/>
          <w:color w:val="auto"/>
          <w:sz w:val="24"/>
          <w:szCs w:val="24"/>
        </w:rPr>
        <w:t>/</w:t>
      </w:r>
      <w:r>
        <w:rPr>
          <w:rFonts w:hAnsi="宋体"/>
          <w:b/>
          <w:color w:val="auto"/>
          <w:sz w:val="24"/>
          <w:szCs w:val="24"/>
        </w:rPr>
        <w:t>投标报价）</w:t>
      </w:r>
      <w:r>
        <w:rPr>
          <w:b/>
          <w:color w:val="auto"/>
          <w:sz w:val="24"/>
          <w:szCs w:val="24"/>
        </w:rPr>
        <w:t>×</w:t>
      </w:r>
      <w:r>
        <w:rPr>
          <w:rFonts w:hint="eastAsia"/>
          <w:b/>
          <w:color w:val="auto"/>
          <w:sz w:val="24"/>
          <w:szCs w:val="24"/>
        </w:rPr>
        <w:t>20</w:t>
      </w:r>
      <w:r>
        <w:rPr>
          <w:b/>
          <w:color w:val="auto"/>
          <w:sz w:val="24"/>
          <w:szCs w:val="24"/>
        </w:rPr>
        <w:t>%×100</w:t>
      </w:r>
      <w:r>
        <w:rPr>
          <w:rFonts w:hAnsi="宋体"/>
          <w:b/>
          <w:color w:val="auto"/>
          <w:sz w:val="24"/>
          <w:szCs w:val="24"/>
        </w:rPr>
        <w:t>，保留小数</w:t>
      </w:r>
      <w:r>
        <w:rPr>
          <w:b/>
          <w:color w:val="auto"/>
          <w:sz w:val="24"/>
          <w:szCs w:val="24"/>
        </w:rPr>
        <w:t>2</w:t>
      </w:r>
      <w:r>
        <w:rPr>
          <w:rFonts w:hAnsi="宋体"/>
          <w:b/>
          <w:color w:val="auto"/>
          <w:sz w:val="24"/>
          <w:szCs w:val="24"/>
        </w:rPr>
        <w:t>位</w:t>
      </w:r>
    </w:p>
    <w:p>
      <w:pPr>
        <w:adjustRightInd w:val="0"/>
        <w:snapToGrid w:val="0"/>
        <w:spacing w:line="360" w:lineRule="auto"/>
        <w:ind w:firstLine="480" w:firstLineChars="200"/>
        <w:rPr>
          <w:sz w:val="24"/>
          <w:szCs w:val="24"/>
        </w:rPr>
      </w:pPr>
      <w:r>
        <w:rPr>
          <w:rFonts w:hAnsi="宋体"/>
          <w:color w:val="auto"/>
          <w:sz w:val="24"/>
          <w:szCs w:val="24"/>
        </w:rPr>
        <w:t>由评标专家对投标文件进行商务报价评审。评标专家应对商务报价的范围、单价等进行全面审阅和对比分析，找出报价差异的原因及存在的问题。商务报价评审应以报价口径范围一致的评标价为依据。评标价应在最终报价的基础上，按照采购文件约定的因素和方法进行计算。凡属采购文件的原因造</w:t>
      </w:r>
      <w:r>
        <w:rPr>
          <w:rFonts w:hAnsi="宋体"/>
          <w:sz w:val="24"/>
          <w:szCs w:val="24"/>
        </w:rPr>
        <w:t>成报价口径范围不一致的，应予以调整，但因投标人自身失误造成多算、少算、漏算的，不得调整。</w:t>
      </w:r>
    </w:p>
    <w:p>
      <w:pPr>
        <w:adjustRightInd w:val="0"/>
        <w:snapToGrid w:val="0"/>
        <w:spacing w:line="360" w:lineRule="auto"/>
        <w:rPr>
          <w:sz w:val="24"/>
          <w:szCs w:val="24"/>
        </w:rPr>
      </w:pPr>
      <w:r>
        <w:rPr>
          <w:sz w:val="24"/>
          <w:szCs w:val="24"/>
        </w:rPr>
        <w:t>3</w:t>
      </w:r>
      <w:r>
        <w:rPr>
          <w:rFonts w:hAnsi="宋体"/>
          <w:sz w:val="24"/>
          <w:szCs w:val="24"/>
        </w:rPr>
        <w:t>、投标人的综合得分为以上两部分评分的总和。</w:t>
      </w:r>
    </w:p>
    <w:p>
      <w:pPr>
        <w:adjustRightInd w:val="0"/>
        <w:snapToGrid w:val="0"/>
        <w:spacing w:line="360" w:lineRule="auto"/>
        <w:rPr>
          <w:sz w:val="24"/>
          <w:szCs w:val="24"/>
        </w:rPr>
      </w:pPr>
      <w:r>
        <w:rPr>
          <w:sz w:val="24"/>
          <w:szCs w:val="24"/>
        </w:rPr>
        <w:t>4.</w:t>
      </w:r>
      <w:r>
        <w:rPr>
          <w:rFonts w:hAnsi="宋体"/>
          <w:sz w:val="24"/>
          <w:szCs w:val="24"/>
        </w:rPr>
        <w:t>评标报告</w:t>
      </w:r>
      <w:r>
        <w:rPr>
          <w:sz w:val="24"/>
          <w:szCs w:val="24"/>
        </w:rPr>
        <w:t xml:space="preserve"> </w:t>
      </w:r>
    </w:p>
    <w:p>
      <w:pPr>
        <w:adjustRightInd w:val="0"/>
        <w:snapToGrid w:val="0"/>
        <w:spacing w:line="360" w:lineRule="auto"/>
        <w:ind w:firstLine="435"/>
        <w:rPr>
          <w:sz w:val="24"/>
          <w:szCs w:val="24"/>
        </w:rPr>
      </w:pPr>
      <w:r>
        <w:rPr>
          <w:rFonts w:hAnsi="宋体"/>
          <w:sz w:val="24"/>
          <w:szCs w:val="24"/>
        </w:rPr>
        <w:t>评标委员会应根据评标情况和结果，向招标领导小组提交评标报告。评标报告应由评标委员会起草，按少数服从多数的原则通过。评标委员会全体成员应在评标报告上签字认可，评标专家如有保留意见可以在评标报告中阐明。</w:t>
      </w:r>
    </w:p>
    <w:p>
      <w:pPr>
        <w:adjustRightInd w:val="0"/>
        <w:snapToGrid w:val="0"/>
        <w:spacing w:line="360" w:lineRule="auto"/>
        <w:ind w:firstLine="435"/>
        <w:rPr>
          <w:color w:val="auto"/>
          <w:sz w:val="24"/>
          <w:szCs w:val="24"/>
        </w:rPr>
      </w:pPr>
      <w:r>
        <w:rPr>
          <w:rFonts w:hAnsi="宋体"/>
          <w:sz w:val="24"/>
          <w:szCs w:val="24"/>
        </w:rPr>
        <w:t>评标委员会应在评标报告中，由得分从高到低推荐前二名为中标候选人。得分相同时，投标价低者优先。若第一中标候选人在中标后</w:t>
      </w:r>
      <w:r>
        <w:rPr>
          <w:sz w:val="24"/>
          <w:szCs w:val="24"/>
        </w:rPr>
        <w:t>30</w:t>
      </w:r>
      <w:r>
        <w:rPr>
          <w:rFonts w:hAnsi="宋体"/>
          <w:sz w:val="24"/>
          <w:szCs w:val="24"/>
        </w:rPr>
        <w:t>天内拒绝与采购人</w:t>
      </w:r>
      <w:r>
        <w:rPr>
          <w:rFonts w:hAnsi="宋体"/>
          <w:color w:val="auto"/>
          <w:sz w:val="24"/>
          <w:szCs w:val="24"/>
        </w:rPr>
        <w:t>签订合同的，采购人可以与第二中标候选人签约采购合同；若第一中标候选人签订合同后未按合同及采购人要求</w:t>
      </w:r>
      <w:r>
        <w:rPr>
          <w:rFonts w:hint="eastAsia" w:hAnsi="宋体"/>
          <w:color w:val="auto"/>
          <w:sz w:val="24"/>
          <w:szCs w:val="24"/>
        </w:rPr>
        <w:t>提供</w:t>
      </w:r>
      <w:r>
        <w:rPr>
          <w:rFonts w:hAnsi="宋体"/>
          <w:color w:val="auto"/>
          <w:sz w:val="24"/>
          <w:szCs w:val="24"/>
        </w:rPr>
        <w:t>相应服务的，采购人有权与其解除合同并与第二中标候选人签订采购合同</w:t>
      </w:r>
      <w:r>
        <w:rPr>
          <w:rFonts w:hint="eastAsia" w:hAnsi="宋体"/>
          <w:color w:val="auto"/>
          <w:sz w:val="24"/>
          <w:szCs w:val="24"/>
        </w:rPr>
        <w:t>；</w:t>
      </w:r>
      <w:r>
        <w:rPr>
          <w:rFonts w:hAnsi="宋体"/>
          <w:color w:val="auto"/>
          <w:sz w:val="24"/>
          <w:szCs w:val="24"/>
        </w:rPr>
        <w:t>采购人也可重新组织采购</w:t>
      </w:r>
      <w:r>
        <w:rPr>
          <w:rFonts w:hint="eastAsia" w:hAnsi="宋体"/>
          <w:color w:val="auto"/>
          <w:sz w:val="24"/>
          <w:szCs w:val="24"/>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AF526E"/>
    <w:multiLevelType w:val="multilevel"/>
    <w:tmpl w:val="31AF526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B5E0022"/>
    <w:rsid w:val="000E17E0"/>
    <w:rsid w:val="0042079B"/>
    <w:rsid w:val="00567835"/>
    <w:rsid w:val="00621FBC"/>
    <w:rsid w:val="006528A1"/>
    <w:rsid w:val="00661FF5"/>
    <w:rsid w:val="00811B0F"/>
    <w:rsid w:val="0090454A"/>
    <w:rsid w:val="00A57962"/>
    <w:rsid w:val="00A64D55"/>
    <w:rsid w:val="00A77196"/>
    <w:rsid w:val="00B6086C"/>
    <w:rsid w:val="00BA5342"/>
    <w:rsid w:val="00BD2D60"/>
    <w:rsid w:val="00BF1CD6"/>
    <w:rsid w:val="00C10551"/>
    <w:rsid w:val="00D27B43"/>
    <w:rsid w:val="00E81974"/>
    <w:rsid w:val="074C3486"/>
    <w:rsid w:val="1E4D4ADB"/>
    <w:rsid w:val="4B5E0022"/>
    <w:rsid w:val="558F76A0"/>
    <w:rsid w:val="57E55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rPr>
      <w:kern w:val="0"/>
      <w:sz w:val="20"/>
    </w:rPr>
  </w:style>
  <w:style w:type="paragraph" w:styleId="3">
    <w:name w:val="Plain Text"/>
    <w:basedOn w:val="1"/>
    <w:unhideWhenUsed/>
    <w:qFormat/>
    <w:uiPriority w:val="99"/>
    <w:rPr>
      <w:rFonts w:ascii="宋体" w:hAnsi="Courier New"/>
      <w:kern w:val="0"/>
      <w:sz w:val="20"/>
      <w:szCs w:val="21"/>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character" w:customStyle="1" w:styleId="9">
    <w:name w:val="页眉 Char"/>
    <w:basedOn w:val="8"/>
    <w:link w:val="5"/>
    <w:qFormat/>
    <w:uiPriority w:val="0"/>
    <w:rPr>
      <w:kern w:val="2"/>
      <w:sz w:val="18"/>
      <w:szCs w:val="18"/>
    </w:rPr>
  </w:style>
  <w:style w:type="character" w:customStyle="1" w:styleId="10">
    <w:name w:val="页脚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333</Words>
  <Characters>1904</Characters>
  <Lines>15</Lines>
  <Paragraphs>4</Paragraphs>
  <TotalTime>8</TotalTime>
  <ScaleCrop>false</ScaleCrop>
  <LinksUpToDate>false</LinksUpToDate>
  <CharactersWithSpaces>2233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2021-03-01T05:43:00Z</dcterms:created>
  <dc:creator>琼</dc:creator>
  <cp:lastModifiedBy>琼</cp:lastModifiedBy>
  <dcterms:modified xsi:type="dcterms:W3CDTF">2021-07-13T03:40:46Z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7875D38F326D48E0880410BCDC5DA574</vt:lpwstr>
  </property>
</Properties>
</file>